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EDCCC" w14:textId="77777777" w:rsidR="00C775C4" w:rsidRDefault="004F42E0">
      <w:pPr>
        <w:pStyle w:val="Header"/>
        <w:tabs>
          <w:tab w:val="right" w:pos="9639"/>
        </w:tabs>
        <w:rPr>
          <w:bCs/>
          <w:i/>
          <w:sz w:val="24"/>
          <w:szCs w:val="24"/>
        </w:rPr>
      </w:pPr>
      <w:r>
        <w:rPr>
          <w:bCs/>
          <w:sz w:val="24"/>
          <w:szCs w:val="24"/>
        </w:rPr>
        <w:t>3GPP T</w:t>
      </w:r>
      <w:bookmarkStart w:id="0" w:name="_Ref452454252"/>
      <w:bookmarkEnd w:id="0"/>
      <w:r>
        <w:rPr>
          <w:bCs/>
          <w:sz w:val="24"/>
          <w:szCs w:val="24"/>
        </w:rPr>
        <w:t xml:space="preserve">SG-RAN </w:t>
      </w:r>
      <w:r>
        <w:rPr>
          <w:sz w:val="24"/>
          <w:szCs w:val="24"/>
        </w:rPr>
        <w:t>WG3 Meeting #117-e</w:t>
      </w:r>
      <w:r>
        <w:rPr>
          <w:bCs/>
          <w:sz w:val="24"/>
          <w:szCs w:val="24"/>
        </w:rPr>
        <w:tab/>
      </w:r>
      <w:r>
        <w:rPr>
          <w:rFonts w:hint="eastAsia"/>
          <w:bCs/>
          <w:sz w:val="24"/>
          <w:szCs w:val="24"/>
        </w:rPr>
        <w:t>R</w:t>
      </w:r>
      <w:r>
        <w:rPr>
          <w:bCs/>
          <w:sz w:val="24"/>
          <w:szCs w:val="24"/>
        </w:rPr>
        <w:t>3</w:t>
      </w:r>
      <w:r>
        <w:rPr>
          <w:rFonts w:hint="eastAsia"/>
          <w:bCs/>
          <w:sz w:val="24"/>
          <w:szCs w:val="24"/>
        </w:rPr>
        <w:t>-</w:t>
      </w:r>
      <w:r>
        <w:rPr>
          <w:bCs/>
          <w:sz w:val="24"/>
          <w:szCs w:val="24"/>
        </w:rPr>
        <w:t>224987</w:t>
      </w:r>
    </w:p>
    <w:p w14:paraId="62D93A46" w14:textId="77777777" w:rsidR="00C775C4" w:rsidRDefault="004F42E0">
      <w:pPr>
        <w:pStyle w:val="Header"/>
        <w:tabs>
          <w:tab w:val="right" w:pos="9639"/>
        </w:tabs>
        <w:rPr>
          <w:bCs/>
          <w:sz w:val="24"/>
          <w:szCs w:val="24"/>
          <w:lang w:val="en-US"/>
        </w:rPr>
      </w:pPr>
      <w:bookmarkStart w:id="1" w:name="_Hlk490060723"/>
      <w:r>
        <w:rPr>
          <w:rFonts w:cs="Arial"/>
          <w:sz w:val="24"/>
          <w:szCs w:val="24"/>
          <w:lang w:val="en-US"/>
        </w:rPr>
        <w:t xml:space="preserve">E-meeting, </w:t>
      </w:r>
      <w:bookmarkEnd w:id="1"/>
      <w:r>
        <w:rPr>
          <w:rFonts w:cs="Arial"/>
          <w:sz w:val="24"/>
          <w:szCs w:val="24"/>
          <w:lang w:val="en-US"/>
        </w:rPr>
        <w:t>15</w:t>
      </w:r>
      <w:r>
        <w:rPr>
          <w:rFonts w:cs="Arial"/>
          <w:sz w:val="24"/>
          <w:szCs w:val="24"/>
        </w:rPr>
        <w:t xml:space="preserve"> – 24 August</w:t>
      </w:r>
      <w:r>
        <w:rPr>
          <w:rFonts w:cs="Arial"/>
          <w:sz w:val="24"/>
          <w:szCs w:val="24"/>
          <w:lang w:val="en-US"/>
        </w:rPr>
        <w:t>, 2022</w:t>
      </w:r>
    </w:p>
    <w:p w14:paraId="429D8A2A" w14:textId="77777777" w:rsidR="00C775C4" w:rsidRDefault="00C775C4">
      <w:pPr>
        <w:pStyle w:val="Header"/>
        <w:rPr>
          <w:bCs/>
          <w:sz w:val="24"/>
          <w:lang w:val="en-US"/>
        </w:rPr>
      </w:pPr>
    </w:p>
    <w:p w14:paraId="30CA34F7" w14:textId="77777777" w:rsidR="00C775C4" w:rsidRDefault="00C775C4">
      <w:pPr>
        <w:pStyle w:val="Header"/>
        <w:rPr>
          <w:bCs/>
          <w:sz w:val="24"/>
          <w:lang w:val="en-US"/>
        </w:rPr>
      </w:pPr>
    </w:p>
    <w:p w14:paraId="585EBB0D" w14:textId="77777777" w:rsidR="00C775C4" w:rsidRDefault="004F42E0">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9.2.1</w:t>
      </w:r>
    </w:p>
    <w:p w14:paraId="453ABAF6" w14:textId="77777777" w:rsidR="00C775C4" w:rsidRDefault="004F42E0">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Nokia - moderator</w:t>
      </w:r>
    </w:p>
    <w:p w14:paraId="79235604" w14:textId="77777777" w:rsidR="00C775C4" w:rsidRDefault="004F42E0">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discussions on CB: # 4_UserConsent</w:t>
      </w:r>
    </w:p>
    <w:p w14:paraId="5BA7D1CF" w14:textId="77777777" w:rsidR="00C775C4" w:rsidRDefault="004F42E0">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5028E3DD" w14:textId="77777777" w:rsidR="00C775C4" w:rsidRDefault="004F42E0">
      <w:pPr>
        <w:pStyle w:val="Heading1"/>
      </w:pPr>
      <w:r>
        <w:t>1</w:t>
      </w:r>
      <w:r>
        <w:tab/>
        <w:t>Introduction</w:t>
      </w:r>
    </w:p>
    <w:p w14:paraId="4BBA842E" w14:textId="77777777" w:rsidR="00C775C4" w:rsidRDefault="004F42E0">
      <w:r>
        <w:t>This paper provides summary of discussions at RAN#117-e on:</w:t>
      </w:r>
    </w:p>
    <w:p w14:paraId="4D6DABF5" w14:textId="77777777" w:rsidR="00C775C4" w:rsidRDefault="004F42E0">
      <w:pPr>
        <w:widowControl w:val="0"/>
        <w:ind w:left="144" w:hanging="144"/>
        <w:rPr>
          <w:rFonts w:ascii="Calibri" w:hAnsi="Calibri" w:cs="Calibri"/>
          <w:b/>
          <w:color w:val="FF00FF"/>
          <w:sz w:val="18"/>
          <w:szCs w:val="24"/>
        </w:rPr>
      </w:pPr>
      <w:r>
        <w:rPr>
          <w:rFonts w:ascii="Calibri" w:hAnsi="Calibri" w:cs="Calibri"/>
          <w:b/>
          <w:color w:val="FF00FF"/>
          <w:sz w:val="18"/>
          <w:szCs w:val="24"/>
        </w:rPr>
        <w:t>CB: # 4_UserConsent</w:t>
      </w:r>
    </w:p>
    <w:p w14:paraId="036AA847" w14:textId="77777777" w:rsidR="00C775C4" w:rsidRDefault="004F42E0">
      <w:pPr>
        <w:widowControl w:val="0"/>
        <w:ind w:left="144" w:hanging="144"/>
        <w:rPr>
          <w:rFonts w:ascii="Calibri" w:hAnsi="Calibri" w:cs="Calibri"/>
          <w:b/>
          <w:color w:val="FF00FF"/>
          <w:sz w:val="18"/>
          <w:szCs w:val="24"/>
        </w:rPr>
      </w:pPr>
      <w:r>
        <w:rPr>
          <w:rFonts w:ascii="Calibri" w:hAnsi="Calibri" w:cs="Calibri"/>
          <w:b/>
          <w:color w:val="FF00FF"/>
          <w:sz w:val="18"/>
          <w:szCs w:val="24"/>
        </w:rPr>
        <w:t xml:space="preserve">- Try to converge on the WF: </w:t>
      </w:r>
    </w:p>
    <w:p w14:paraId="2DC67034" w14:textId="77777777" w:rsidR="00C775C4" w:rsidRDefault="004F42E0">
      <w:pPr>
        <w:rPr>
          <w:rFonts w:ascii="Calibri" w:hAnsi="Calibri" w:cs="Calibri"/>
          <w:b/>
          <w:color w:val="FF00FF"/>
          <w:sz w:val="18"/>
          <w:szCs w:val="24"/>
        </w:rPr>
      </w:pPr>
      <w:r>
        <w:rPr>
          <w:rFonts w:ascii="Calibri" w:hAnsi="Calibri" w:cs="Calibri"/>
          <w:b/>
          <w:color w:val="FF00FF"/>
          <w:sz w:val="18"/>
          <w:szCs w:val="24"/>
        </w:rPr>
        <w:t>RAN3 replies to SA3 (cc RAN2, SA5) along the lines that RLF/CEF reports are sent as MDT information to external entities (TCE) only if the user has provided his consent?</w:t>
      </w:r>
    </w:p>
    <w:p w14:paraId="30CB4E83" w14:textId="77777777" w:rsidR="00C775C4" w:rsidRDefault="004F42E0">
      <w:pPr>
        <w:rPr>
          <w:rFonts w:ascii="Calibri" w:hAnsi="Calibri" w:cs="Calibri"/>
          <w:b/>
          <w:color w:val="FF00FF"/>
          <w:sz w:val="18"/>
          <w:szCs w:val="24"/>
        </w:rPr>
      </w:pPr>
      <w:r>
        <w:rPr>
          <w:rFonts w:ascii="Calibri" w:hAnsi="Calibri" w:cs="Calibri"/>
          <w:b/>
          <w:color w:val="FF00FF"/>
          <w:sz w:val="18"/>
          <w:szCs w:val="24"/>
        </w:rPr>
        <w:t xml:space="preserve">Sending a </w:t>
      </w:r>
      <w:proofErr w:type="gramStart"/>
      <w:r>
        <w:rPr>
          <w:rFonts w:ascii="Calibri" w:hAnsi="Calibri" w:cs="Calibri"/>
          <w:b/>
          <w:color w:val="FF00FF"/>
          <w:sz w:val="18"/>
          <w:szCs w:val="24"/>
        </w:rPr>
        <w:t>reply</w:t>
      </w:r>
      <w:proofErr w:type="gramEnd"/>
      <w:r>
        <w:rPr>
          <w:rFonts w:ascii="Calibri" w:hAnsi="Calibri" w:cs="Calibri"/>
          <w:b/>
          <w:color w:val="FF00FF"/>
          <w:sz w:val="18"/>
          <w:szCs w:val="24"/>
        </w:rPr>
        <w:t xml:space="preserve"> LS to SA3 and to ask SA3 whether it is feasible and beneficial to agree to a user consent mechanism based on operators´ configurations of user consent information?</w:t>
      </w:r>
    </w:p>
    <w:p w14:paraId="028FC658" w14:textId="77777777" w:rsidR="00C775C4" w:rsidRDefault="004F42E0">
      <w:pPr>
        <w:pStyle w:val="Normal4"/>
        <w:rPr>
          <w:rFonts w:eastAsia="MS Mincho"/>
          <w:b/>
          <w:color w:val="FF00FF"/>
          <w:kern w:val="0"/>
          <w:sz w:val="18"/>
          <w:szCs w:val="24"/>
          <w:lang w:eastAsia="en-US"/>
        </w:rPr>
      </w:pPr>
      <w:r>
        <w:rPr>
          <w:rFonts w:eastAsia="MS Mincho"/>
          <w:b/>
          <w:color w:val="FF00FF"/>
          <w:kern w:val="0"/>
          <w:sz w:val="18"/>
          <w:szCs w:val="24"/>
          <w:lang w:eastAsia="en-US"/>
        </w:rPr>
        <w:t>Indicating lack of agreement in RAN3 and stop the discussion?</w:t>
      </w:r>
    </w:p>
    <w:p w14:paraId="60B8CDC5" w14:textId="77777777" w:rsidR="00C775C4" w:rsidRDefault="004F42E0">
      <w:pPr>
        <w:widowControl w:val="0"/>
        <w:rPr>
          <w:rFonts w:ascii="Calibri" w:hAnsi="Calibri" w:cs="Calibri"/>
          <w:b/>
          <w:color w:val="FF00FF"/>
          <w:sz w:val="18"/>
          <w:szCs w:val="24"/>
        </w:rPr>
      </w:pPr>
      <w:r>
        <w:rPr>
          <w:rFonts w:ascii="Calibri" w:hAnsi="Calibri" w:cs="Calibri"/>
          <w:b/>
          <w:color w:val="FF00FF"/>
          <w:sz w:val="18"/>
          <w:szCs w:val="24"/>
        </w:rPr>
        <w:t>-LS reply to SA3</w:t>
      </w:r>
    </w:p>
    <w:p w14:paraId="2CBAFA6D" w14:textId="77777777" w:rsidR="00C775C4" w:rsidRDefault="004F42E0">
      <w:pPr>
        <w:spacing w:line="276" w:lineRule="auto"/>
        <w:rPr>
          <w:rFonts w:eastAsia="SimSun"/>
          <w:color w:val="000000"/>
          <w:sz w:val="18"/>
          <w:szCs w:val="18"/>
        </w:rPr>
      </w:pPr>
      <w:r>
        <w:rPr>
          <w:rFonts w:ascii="Calibri" w:hAnsi="Calibri" w:cs="Calibri"/>
          <w:color w:val="000000"/>
          <w:sz w:val="18"/>
          <w:szCs w:val="18"/>
        </w:rPr>
        <w:t>(Nok - moderator)</w:t>
      </w:r>
    </w:p>
    <w:p w14:paraId="1C25FBBF" w14:textId="6312D460" w:rsidR="00C775C4" w:rsidRDefault="004F42E0">
      <w:r>
        <w:t>Please provide feedback for first round by Friday, Aug. 19, EOB.</w:t>
      </w:r>
    </w:p>
    <w:p w14:paraId="4316111E" w14:textId="77777777" w:rsidR="00C81103" w:rsidRDefault="00C81103" w:rsidP="00C81103">
      <w:pPr>
        <w:rPr>
          <w:lang w:val="en-US"/>
        </w:rPr>
      </w:pPr>
      <w:r>
        <w:t>The first applicable deadline for 2</w:t>
      </w:r>
      <w:r>
        <w:rPr>
          <w:vertAlign w:val="superscript"/>
        </w:rPr>
        <w:t>nd</w:t>
      </w:r>
      <w:r>
        <w:t xml:space="preserve"> round is </w:t>
      </w:r>
      <w:r>
        <w:rPr>
          <w:color w:val="FF0000"/>
          <w:lang w:val="en-US"/>
        </w:rPr>
        <w:t>Tuesday, Aug 23, 0800 UTC</w:t>
      </w:r>
      <w:r>
        <w:rPr>
          <w:lang w:val="en-US"/>
        </w:rPr>
        <w:t>.</w:t>
      </w:r>
    </w:p>
    <w:p w14:paraId="646A5578" w14:textId="29E0DFE3" w:rsidR="00C81103" w:rsidRPr="00C81103" w:rsidRDefault="00C81103">
      <w:pPr>
        <w:rPr>
          <w:lang w:val="en-US"/>
        </w:rPr>
      </w:pPr>
      <w:r>
        <w:rPr>
          <w:lang w:val="en-US"/>
        </w:rPr>
        <w:t xml:space="preserve">Depending on companies’ possibility to comment by this very short deadline and on the discussion status, I may request Ms. Chair that the CB is handled on Wednesday, in which case the following deadline </w:t>
      </w:r>
      <w:proofErr w:type="gramStart"/>
      <w:r>
        <w:rPr>
          <w:lang w:val="en-US"/>
        </w:rPr>
        <w:t>applies:</w:t>
      </w:r>
      <w:proofErr w:type="gramEnd"/>
      <w:r>
        <w:rPr>
          <w:lang w:val="en-US"/>
        </w:rPr>
        <w:t xml:space="preserve"> Wednesday, Aug 24, 0800 UTC.</w:t>
      </w:r>
    </w:p>
    <w:p w14:paraId="7837812F" w14:textId="77777777" w:rsidR="00C775C4" w:rsidRDefault="004F42E0">
      <w:pPr>
        <w:pStyle w:val="Heading1"/>
      </w:pPr>
      <w:r>
        <w:t>2</w:t>
      </w:r>
      <w:r>
        <w:tab/>
        <w:t xml:space="preserve">For the Chairman’s Notes </w:t>
      </w:r>
    </w:p>
    <w:p w14:paraId="65A526C2" w14:textId="5D7FC57E" w:rsidR="009C2CF1" w:rsidRDefault="009C2CF1">
      <w:pPr>
        <w:rPr>
          <w:b/>
          <w:bCs/>
        </w:rPr>
      </w:pPr>
      <w:r>
        <w:t>Check</w:t>
      </w:r>
      <w:r>
        <w:rPr>
          <w:b/>
          <w:bCs/>
        </w:rPr>
        <w:t xml:space="preserve"> </w:t>
      </w:r>
      <w:proofErr w:type="gramStart"/>
      <w:r>
        <w:t>reply</w:t>
      </w:r>
      <w:proofErr w:type="gramEnd"/>
      <w:r>
        <w:t xml:space="preserve"> LS to SA3 cc </w:t>
      </w:r>
      <w:r w:rsidRPr="009C2CF1">
        <w:t>RAN2, SA5, SA1, RAN</w:t>
      </w:r>
      <w:r>
        <w:t xml:space="preserve"> in R3-225194.</w:t>
      </w:r>
    </w:p>
    <w:p w14:paraId="57932068" w14:textId="4606B3F9" w:rsidR="009C2CF1" w:rsidRPr="009C2CF1" w:rsidRDefault="009C2CF1">
      <w:pPr>
        <w:rPr>
          <w:b/>
          <w:bCs/>
          <w:u w:val="single"/>
        </w:rPr>
      </w:pPr>
      <w:r w:rsidRPr="009C2CF1">
        <w:rPr>
          <w:b/>
          <w:bCs/>
          <w:u w:val="single"/>
        </w:rPr>
        <w:t>Details:</w:t>
      </w:r>
    </w:p>
    <w:p w14:paraId="2F231B45" w14:textId="492CD278" w:rsidR="00A35777" w:rsidRPr="00C81103" w:rsidRDefault="00A35777">
      <w:pPr>
        <w:rPr>
          <w:b/>
          <w:bCs/>
        </w:rPr>
      </w:pPr>
      <w:r w:rsidRPr="00C81103">
        <w:rPr>
          <w:b/>
          <w:bCs/>
        </w:rPr>
        <w:t>Round 1 overview:</w:t>
      </w:r>
    </w:p>
    <w:p w14:paraId="03BAFF41" w14:textId="77777777" w:rsidR="00887DEA" w:rsidRDefault="00887DEA" w:rsidP="00887DEA">
      <w:pPr>
        <w:numPr>
          <w:ilvl w:val="0"/>
          <w:numId w:val="1"/>
        </w:numPr>
      </w:pPr>
      <w:r>
        <w:t xml:space="preserve">Option 1: Reply to SA3 along the lines that current specification already ensures user privacy, </w:t>
      </w:r>
      <w:proofErr w:type="gramStart"/>
      <w:r>
        <w:t>e.g.</w:t>
      </w:r>
      <w:proofErr w:type="gramEnd"/>
      <w:r>
        <w:t xml:space="preserve"> because selection of UE for MDT requires user consent and hence RLF/CEF reports are sent as MDT information to external entities (TCE) only if the user has provided his consent. (See 4242)</w:t>
      </w:r>
    </w:p>
    <w:p w14:paraId="37DF0AB9" w14:textId="77777777" w:rsidR="00887DEA" w:rsidRDefault="00887DEA" w:rsidP="00887DEA">
      <w:pPr>
        <w:numPr>
          <w:ilvl w:val="0"/>
          <w:numId w:val="1"/>
        </w:numPr>
      </w:pPr>
      <w:r>
        <w:t>Option 2: Reply to SA3 asking whether it is feasible and beneficial to agree to a user consent mechanism based on operators´ configurations of user consent information. (See 4573)</w:t>
      </w:r>
    </w:p>
    <w:p w14:paraId="02AB3832" w14:textId="77777777" w:rsidR="00887DEA" w:rsidRDefault="00887DEA" w:rsidP="00887DEA">
      <w:pPr>
        <w:numPr>
          <w:ilvl w:val="0"/>
          <w:numId w:val="1"/>
        </w:numPr>
      </w:pPr>
      <w:r>
        <w:t>Option 3: Update RAN3 specifications and inform SA3 about the changes. (See 4400, 4679)</w:t>
      </w:r>
    </w:p>
    <w:p w14:paraId="08B2F375" w14:textId="038EBC47" w:rsidR="00C775C4" w:rsidRDefault="00CB5311">
      <w:pPr>
        <w:pStyle w:val="00BodyText"/>
        <w:spacing w:after="0"/>
        <w:rPr>
          <w:rFonts w:ascii="Times New Roman" w:hAnsi="Times New Roman"/>
          <w:sz w:val="20"/>
          <w:lang w:val="en-GB"/>
        </w:rPr>
      </w:pPr>
      <w:r>
        <w:rPr>
          <w:rFonts w:ascii="Times New Roman" w:hAnsi="Times New Roman"/>
          <w:sz w:val="20"/>
          <w:lang w:val="en-GB"/>
        </w:rPr>
        <w:lastRenderedPageBreak/>
        <w:t>O</w:t>
      </w:r>
      <w:r w:rsidR="00887DEA">
        <w:rPr>
          <w:rFonts w:ascii="Times New Roman" w:hAnsi="Times New Roman"/>
          <w:sz w:val="20"/>
          <w:lang w:val="en-GB"/>
        </w:rPr>
        <w:t xml:space="preserve">ptions 1-3 were discussed without consensus, </w:t>
      </w:r>
      <w:r w:rsidR="00D3626B">
        <w:rPr>
          <w:rFonts w:ascii="Times New Roman" w:hAnsi="Times New Roman"/>
          <w:sz w:val="20"/>
          <w:lang w:val="en-GB"/>
        </w:rPr>
        <w:t>although most companies</w:t>
      </w:r>
      <w:r>
        <w:rPr>
          <w:rFonts w:ascii="Times New Roman" w:hAnsi="Times New Roman"/>
          <w:sz w:val="20"/>
          <w:lang w:val="en-GB"/>
        </w:rPr>
        <w:t>, after clarification,</w:t>
      </w:r>
      <w:r w:rsidR="00D3626B">
        <w:rPr>
          <w:rFonts w:ascii="Times New Roman" w:hAnsi="Times New Roman"/>
          <w:sz w:val="20"/>
          <w:lang w:val="en-GB"/>
        </w:rPr>
        <w:t xml:space="preserve"> seem to support</w:t>
      </w:r>
      <w:r>
        <w:rPr>
          <w:rFonts w:ascii="Times New Roman" w:hAnsi="Times New Roman"/>
          <w:sz w:val="20"/>
          <w:lang w:val="en-GB"/>
        </w:rPr>
        <w:t xml:space="preserve"> </w:t>
      </w:r>
      <w:r w:rsidR="00B9443C">
        <w:rPr>
          <w:rFonts w:ascii="Times New Roman" w:hAnsi="Times New Roman"/>
          <w:sz w:val="20"/>
          <w:lang w:val="en-GB"/>
        </w:rPr>
        <w:t xml:space="preserve">some variant of </w:t>
      </w:r>
      <w:r w:rsidR="00D3626B">
        <w:rPr>
          <w:rFonts w:ascii="Times New Roman" w:hAnsi="Times New Roman"/>
          <w:sz w:val="20"/>
          <w:lang w:val="en-GB"/>
        </w:rPr>
        <w:t xml:space="preserve">option 2 although not necessarily for </w:t>
      </w:r>
      <w:r w:rsidR="00D80960">
        <w:rPr>
          <w:rFonts w:ascii="Times New Roman" w:hAnsi="Times New Roman"/>
          <w:sz w:val="20"/>
          <w:lang w:val="en-GB"/>
        </w:rPr>
        <w:t>legacy releases</w:t>
      </w:r>
      <w:r w:rsidR="00D3626B">
        <w:rPr>
          <w:rFonts w:ascii="Times New Roman" w:hAnsi="Times New Roman"/>
          <w:sz w:val="20"/>
          <w:lang w:val="en-GB"/>
        </w:rPr>
        <w:t xml:space="preserve">. </w:t>
      </w:r>
      <w:bookmarkStart w:id="2" w:name="_Hlk112020780"/>
      <w:r w:rsidR="00D80960">
        <w:rPr>
          <w:rFonts w:ascii="Times New Roman" w:hAnsi="Times New Roman"/>
          <w:sz w:val="20"/>
          <w:lang w:val="en-GB"/>
        </w:rPr>
        <w:t>Different views have been expressed</w:t>
      </w:r>
      <w:r w:rsidR="00B9443C">
        <w:rPr>
          <w:rFonts w:ascii="Times New Roman" w:hAnsi="Times New Roman"/>
          <w:sz w:val="20"/>
          <w:lang w:val="en-GB"/>
        </w:rPr>
        <w:t xml:space="preserve"> on the interface applicable (</w:t>
      </w:r>
      <w:proofErr w:type="spellStart"/>
      <w:r w:rsidR="00B9443C">
        <w:rPr>
          <w:rFonts w:ascii="Times New Roman" w:hAnsi="Times New Roman"/>
          <w:sz w:val="20"/>
          <w:lang w:val="en-GB"/>
        </w:rPr>
        <w:t>Uu</w:t>
      </w:r>
      <w:proofErr w:type="spellEnd"/>
      <w:r w:rsidR="00B9443C">
        <w:rPr>
          <w:rFonts w:ascii="Times New Roman" w:hAnsi="Times New Roman"/>
          <w:sz w:val="20"/>
          <w:lang w:val="en-GB"/>
        </w:rPr>
        <w:t xml:space="preserve"> or reporting from RAN to TCE)</w:t>
      </w:r>
      <w:bookmarkEnd w:id="2"/>
      <w:r w:rsidR="00B9443C">
        <w:rPr>
          <w:rFonts w:ascii="Times New Roman" w:hAnsi="Times New Roman"/>
          <w:sz w:val="20"/>
          <w:lang w:val="en-GB"/>
        </w:rPr>
        <w:t xml:space="preserve">. </w:t>
      </w:r>
      <w:r w:rsidR="00D3626B">
        <w:rPr>
          <w:rFonts w:ascii="Times New Roman" w:hAnsi="Times New Roman"/>
          <w:sz w:val="20"/>
          <w:lang w:val="en-GB"/>
        </w:rPr>
        <w:t xml:space="preserve">It was also commented that SA1 should be involved </w:t>
      </w:r>
      <w:r w:rsidR="00D80960">
        <w:rPr>
          <w:rFonts w:ascii="Times New Roman" w:hAnsi="Times New Roman"/>
          <w:sz w:val="20"/>
          <w:lang w:val="en-GB"/>
        </w:rPr>
        <w:t>in the assessment of</w:t>
      </w:r>
      <w:r w:rsidR="00D3626B">
        <w:rPr>
          <w:rFonts w:ascii="Times New Roman" w:hAnsi="Times New Roman"/>
          <w:sz w:val="20"/>
          <w:lang w:val="en-GB"/>
        </w:rPr>
        <w:t xml:space="preserve"> </w:t>
      </w:r>
      <w:r w:rsidR="00D80960">
        <w:rPr>
          <w:rFonts w:ascii="Times New Roman" w:hAnsi="Times New Roman"/>
          <w:sz w:val="20"/>
          <w:lang w:val="en-GB"/>
        </w:rPr>
        <w:t xml:space="preserve">this </w:t>
      </w:r>
      <w:r w:rsidR="00D3626B">
        <w:rPr>
          <w:rFonts w:ascii="Times New Roman" w:hAnsi="Times New Roman"/>
          <w:sz w:val="20"/>
          <w:lang w:val="en-GB"/>
        </w:rPr>
        <w:t>optio</w:t>
      </w:r>
      <w:r w:rsidR="00D80960">
        <w:rPr>
          <w:rFonts w:ascii="Times New Roman" w:hAnsi="Times New Roman"/>
          <w:sz w:val="20"/>
          <w:lang w:val="en-GB"/>
        </w:rPr>
        <w:t>n</w:t>
      </w:r>
      <w:r w:rsidR="00D3626B">
        <w:rPr>
          <w:rFonts w:ascii="Times New Roman" w:hAnsi="Times New Roman"/>
          <w:sz w:val="20"/>
          <w:lang w:val="en-GB"/>
        </w:rPr>
        <w:t>. Several companies also believed that SA3 should assess option 1. For option 3 (stage 3 CR), companies are very split (5 companies in favour, 5 companies against)</w:t>
      </w:r>
      <w:r w:rsidR="00A35777">
        <w:rPr>
          <w:rFonts w:ascii="Times New Roman" w:hAnsi="Times New Roman"/>
          <w:sz w:val="20"/>
          <w:lang w:val="en-GB"/>
        </w:rPr>
        <w:t>, so stage 3 CR can't be agreed at this meeting</w:t>
      </w:r>
      <w:r w:rsidR="00D3626B">
        <w:rPr>
          <w:rFonts w:ascii="Times New Roman" w:hAnsi="Times New Roman"/>
          <w:sz w:val="20"/>
          <w:lang w:val="en-GB"/>
        </w:rPr>
        <w:t xml:space="preserve">. </w:t>
      </w:r>
      <w:r w:rsidR="00D80960">
        <w:rPr>
          <w:rFonts w:ascii="Times New Roman" w:hAnsi="Times New Roman"/>
          <w:sz w:val="20"/>
          <w:lang w:val="en-GB"/>
        </w:rPr>
        <w:t>(In addition, round 1 contained two more detailed questions on</w:t>
      </w:r>
      <w:r w:rsidR="00D3626B">
        <w:rPr>
          <w:rFonts w:ascii="Times New Roman" w:hAnsi="Times New Roman"/>
          <w:sz w:val="20"/>
          <w:lang w:val="en-GB"/>
        </w:rPr>
        <w:t xml:space="preserve"> stage 3 </w:t>
      </w:r>
      <w:r w:rsidR="00D80960">
        <w:rPr>
          <w:rFonts w:ascii="Times New Roman" w:hAnsi="Times New Roman"/>
          <w:sz w:val="20"/>
          <w:lang w:val="en-GB"/>
        </w:rPr>
        <w:t>CRs for the case where</w:t>
      </w:r>
      <w:r>
        <w:rPr>
          <w:rFonts w:ascii="Times New Roman" w:hAnsi="Times New Roman"/>
          <w:sz w:val="20"/>
          <w:lang w:val="en-GB"/>
        </w:rPr>
        <w:t xml:space="preserve"> RAN3 decided to go in this direction (option A: 2 companies; option B: 4 companies)</w:t>
      </w:r>
      <w:r w:rsidR="00D80960">
        <w:rPr>
          <w:rFonts w:ascii="Times New Roman" w:hAnsi="Times New Roman"/>
          <w:sz w:val="20"/>
          <w:lang w:val="en-GB"/>
        </w:rPr>
        <w:t>)</w:t>
      </w:r>
      <w:r>
        <w:rPr>
          <w:rFonts w:ascii="Times New Roman" w:hAnsi="Times New Roman"/>
          <w:sz w:val="20"/>
          <w:lang w:val="en-GB"/>
        </w:rPr>
        <w:t>.</w:t>
      </w:r>
    </w:p>
    <w:p w14:paraId="3BD2F1A1" w14:textId="77777777" w:rsidR="00C2726D" w:rsidRDefault="00C2726D">
      <w:pPr>
        <w:pStyle w:val="00BodyText"/>
        <w:spacing w:after="0"/>
        <w:rPr>
          <w:rFonts w:ascii="Times New Roman" w:hAnsi="Times New Roman"/>
          <w:sz w:val="20"/>
          <w:lang w:val="en-GB"/>
        </w:rPr>
      </w:pPr>
    </w:p>
    <w:p w14:paraId="3226B674" w14:textId="2D6E497E" w:rsidR="009C2CF1" w:rsidRPr="00C81103" w:rsidRDefault="009C2CF1" w:rsidP="009C2CF1">
      <w:pPr>
        <w:rPr>
          <w:b/>
          <w:bCs/>
        </w:rPr>
      </w:pPr>
      <w:r w:rsidRPr="00C81103">
        <w:rPr>
          <w:b/>
          <w:bCs/>
        </w:rPr>
        <w:t xml:space="preserve">Round </w:t>
      </w:r>
      <w:r>
        <w:rPr>
          <w:b/>
          <w:bCs/>
        </w:rPr>
        <w:t>2</w:t>
      </w:r>
      <w:r w:rsidRPr="00C81103">
        <w:rPr>
          <w:b/>
          <w:bCs/>
        </w:rPr>
        <w:t xml:space="preserve"> overview:</w:t>
      </w:r>
    </w:p>
    <w:p w14:paraId="02E807A2" w14:textId="68C9DA8A" w:rsidR="00A35777" w:rsidRDefault="009C2CF1">
      <w:pPr>
        <w:pStyle w:val="00BodyText"/>
        <w:spacing w:after="0"/>
        <w:rPr>
          <w:rFonts w:ascii="Times New Roman" w:hAnsi="Times New Roman"/>
          <w:sz w:val="20"/>
          <w:lang w:val="en-GB"/>
        </w:rPr>
      </w:pPr>
      <w:r>
        <w:rPr>
          <w:rFonts w:ascii="Times New Roman" w:hAnsi="Times New Roman"/>
          <w:sz w:val="20"/>
          <w:lang w:val="en-GB"/>
        </w:rPr>
        <w:t xml:space="preserve">Draft </w:t>
      </w:r>
      <w:proofErr w:type="gramStart"/>
      <w:r>
        <w:rPr>
          <w:rFonts w:ascii="Times New Roman" w:hAnsi="Times New Roman"/>
          <w:sz w:val="20"/>
          <w:lang w:val="en-GB"/>
        </w:rPr>
        <w:t>reply</w:t>
      </w:r>
      <w:proofErr w:type="gramEnd"/>
      <w:r>
        <w:rPr>
          <w:rFonts w:ascii="Times New Roman" w:hAnsi="Times New Roman"/>
          <w:sz w:val="20"/>
          <w:lang w:val="en-GB"/>
        </w:rPr>
        <w:t xml:space="preserve"> LS to SA3 cc </w:t>
      </w:r>
      <w:r w:rsidRPr="009C2CF1">
        <w:rPr>
          <w:rFonts w:ascii="Times New Roman" w:hAnsi="Times New Roman"/>
          <w:sz w:val="20"/>
          <w:lang w:val="en-GB"/>
        </w:rPr>
        <w:t>RAN2, SA5, SA1, RAN</w:t>
      </w:r>
    </w:p>
    <w:p w14:paraId="31236BEA" w14:textId="37653ECF" w:rsidR="00A35777" w:rsidRDefault="00A35777" w:rsidP="00A35777">
      <w:pPr>
        <w:pStyle w:val="Heading1"/>
      </w:pPr>
      <w:r>
        <w:t>3</w:t>
      </w:r>
      <w:r>
        <w:tab/>
        <w:t>Discussion - round 2</w:t>
      </w:r>
    </w:p>
    <w:p w14:paraId="36EFC07B" w14:textId="17A2FDE7" w:rsidR="00A35777" w:rsidRDefault="00C33BDC" w:rsidP="00C33BDC">
      <w:pPr>
        <w:pStyle w:val="00BodyText"/>
        <w:spacing w:after="0"/>
        <w:rPr>
          <w:rFonts w:ascii="Times New Roman" w:hAnsi="Times New Roman"/>
          <w:sz w:val="20"/>
          <w:lang w:val="en-GB"/>
        </w:rPr>
      </w:pPr>
      <w:r>
        <w:rPr>
          <w:rFonts w:ascii="Times New Roman" w:hAnsi="Times New Roman"/>
          <w:sz w:val="20"/>
          <w:lang w:val="en-GB"/>
        </w:rPr>
        <w:t xml:space="preserve">4400 proposes to send an LS to SA3 </w:t>
      </w:r>
      <w:r w:rsidR="00833813">
        <w:rPr>
          <w:rFonts w:ascii="Times New Roman" w:hAnsi="Times New Roman"/>
          <w:sz w:val="20"/>
          <w:lang w:val="en-GB"/>
        </w:rPr>
        <w:t xml:space="preserve">informing them of absence of consensus in RAN3, with draft </w:t>
      </w:r>
      <w:proofErr w:type="spellStart"/>
      <w:r w:rsidR="00833813">
        <w:rPr>
          <w:rFonts w:ascii="Times New Roman" w:hAnsi="Times New Roman"/>
          <w:sz w:val="20"/>
          <w:lang w:val="en-GB"/>
        </w:rPr>
        <w:t>LSout</w:t>
      </w:r>
      <w:proofErr w:type="spellEnd"/>
      <w:r w:rsidR="00833813">
        <w:rPr>
          <w:rFonts w:ascii="Times New Roman" w:hAnsi="Times New Roman"/>
          <w:sz w:val="20"/>
          <w:lang w:val="en-GB"/>
        </w:rPr>
        <w:t xml:space="preserve"> in 4405.</w:t>
      </w:r>
      <w:r w:rsidR="00F30962">
        <w:rPr>
          <w:rFonts w:ascii="Times New Roman" w:hAnsi="Times New Roman"/>
          <w:sz w:val="20"/>
          <w:lang w:val="en-GB"/>
        </w:rPr>
        <w:t xml:space="preserve"> Other draft </w:t>
      </w:r>
      <w:proofErr w:type="spellStart"/>
      <w:r w:rsidR="00F30962">
        <w:rPr>
          <w:rFonts w:ascii="Times New Roman" w:hAnsi="Times New Roman"/>
          <w:sz w:val="20"/>
          <w:lang w:val="en-GB"/>
        </w:rPr>
        <w:t>LSout</w:t>
      </w:r>
      <w:proofErr w:type="spellEnd"/>
      <w:r w:rsidR="00F30962">
        <w:rPr>
          <w:rFonts w:ascii="Times New Roman" w:hAnsi="Times New Roman"/>
          <w:sz w:val="20"/>
          <w:lang w:val="en-GB"/>
        </w:rPr>
        <w:t xml:space="preserve"> can be found in annexes of 4242, 4573, 4679.</w:t>
      </w:r>
      <w:r w:rsidR="00833813">
        <w:rPr>
          <w:rFonts w:ascii="Times New Roman" w:hAnsi="Times New Roman"/>
          <w:sz w:val="20"/>
          <w:lang w:val="en-GB"/>
        </w:rPr>
        <w:t xml:space="preserve"> </w:t>
      </w:r>
      <w:r w:rsidR="00421F3C">
        <w:rPr>
          <w:rFonts w:ascii="Times New Roman" w:hAnsi="Times New Roman"/>
          <w:sz w:val="20"/>
          <w:lang w:val="en-GB"/>
        </w:rPr>
        <w:t>As per</w:t>
      </w:r>
      <w:r w:rsidR="00833813">
        <w:rPr>
          <w:rFonts w:ascii="Times New Roman" w:hAnsi="Times New Roman"/>
          <w:sz w:val="20"/>
          <w:lang w:val="en-GB"/>
        </w:rPr>
        <w:t xml:space="preserve"> 1st round discussion, some companies </w:t>
      </w:r>
      <w:r w:rsidR="00421F3C">
        <w:rPr>
          <w:rFonts w:ascii="Times New Roman" w:hAnsi="Times New Roman"/>
          <w:sz w:val="20"/>
          <w:lang w:val="en-GB"/>
        </w:rPr>
        <w:t>would like</w:t>
      </w:r>
      <w:r w:rsidR="00833813">
        <w:rPr>
          <w:rFonts w:ascii="Times New Roman" w:hAnsi="Times New Roman"/>
          <w:sz w:val="20"/>
          <w:lang w:val="en-GB"/>
        </w:rPr>
        <w:t xml:space="preserve"> to consult SA3 (</w:t>
      </w:r>
      <w:proofErr w:type="gramStart"/>
      <w:r w:rsidR="00833813">
        <w:rPr>
          <w:rFonts w:ascii="Times New Roman" w:hAnsi="Times New Roman"/>
          <w:sz w:val="20"/>
          <w:lang w:val="en-GB"/>
        </w:rPr>
        <w:t>e.g.</w:t>
      </w:r>
      <w:proofErr w:type="gramEnd"/>
      <w:r w:rsidR="00833813">
        <w:rPr>
          <w:rFonts w:ascii="Times New Roman" w:hAnsi="Times New Roman"/>
          <w:sz w:val="20"/>
          <w:lang w:val="en-GB"/>
        </w:rPr>
        <w:t xml:space="preserve"> on option 1, option 2), other companies believe it is not clear what RAN3 should ask SA3. The moderator has drafted an LS aiming </w:t>
      </w:r>
      <w:r w:rsidR="00F30962">
        <w:rPr>
          <w:rFonts w:ascii="Times New Roman" w:hAnsi="Times New Roman"/>
          <w:sz w:val="20"/>
          <w:lang w:val="en-GB"/>
        </w:rPr>
        <w:t xml:space="preserve">at reflecting the RAN3 discussion status and </w:t>
      </w:r>
      <w:r w:rsidR="00833813">
        <w:rPr>
          <w:rFonts w:ascii="Times New Roman" w:hAnsi="Times New Roman"/>
          <w:sz w:val="20"/>
          <w:lang w:val="en-GB"/>
        </w:rPr>
        <w:t>requesting SA3 for guidance</w:t>
      </w:r>
      <w:r w:rsidR="00F30962">
        <w:rPr>
          <w:rFonts w:ascii="Times New Roman" w:hAnsi="Times New Roman"/>
          <w:sz w:val="20"/>
          <w:lang w:val="en-GB"/>
        </w:rPr>
        <w:t xml:space="preserve">. WGs proposed in cc are: </w:t>
      </w:r>
      <w:r w:rsidR="00D45B7D">
        <w:rPr>
          <w:rFonts w:ascii="Times New Roman" w:hAnsi="Times New Roman"/>
          <w:sz w:val="20"/>
          <w:lang w:val="en-GB"/>
        </w:rPr>
        <w:t>SA1, RAN2</w:t>
      </w:r>
      <w:r w:rsidR="00F30962">
        <w:rPr>
          <w:rFonts w:ascii="Times New Roman" w:hAnsi="Times New Roman"/>
          <w:sz w:val="20"/>
          <w:lang w:val="en-GB"/>
        </w:rPr>
        <w:t>, SA5</w:t>
      </w:r>
      <w:r w:rsidR="00D45B7D">
        <w:rPr>
          <w:rFonts w:ascii="Times New Roman" w:hAnsi="Times New Roman"/>
          <w:sz w:val="20"/>
          <w:lang w:val="en-GB"/>
        </w:rPr>
        <w:t xml:space="preserve"> and RAN (due to discussion at RAN#95)</w:t>
      </w:r>
      <w:r w:rsidR="00833813">
        <w:rPr>
          <w:rFonts w:ascii="Times New Roman" w:hAnsi="Times New Roman"/>
          <w:sz w:val="20"/>
          <w:lang w:val="en-GB"/>
        </w:rPr>
        <w:t>.</w:t>
      </w:r>
    </w:p>
    <w:p w14:paraId="7BF2366D" w14:textId="161EF6F3" w:rsidR="00833813" w:rsidRDefault="00833813" w:rsidP="00C33BDC">
      <w:pPr>
        <w:pStyle w:val="00BodyText"/>
        <w:spacing w:after="0"/>
        <w:rPr>
          <w:rFonts w:ascii="Times New Roman" w:hAnsi="Times New Roman"/>
          <w:sz w:val="20"/>
          <w:lang w:val="en-GB"/>
        </w:rPr>
      </w:pPr>
    </w:p>
    <w:p w14:paraId="3CF48BCA" w14:textId="19232F08" w:rsidR="00833813" w:rsidRPr="00C81103" w:rsidRDefault="00833813" w:rsidP="00C81103">
      <w:pPr>
        <w:pStyle w:val="00BodyText"/>
        <w:spacing w:after="0"/>
        <w:rPr>
          <w:rFonts w:ascii="Times New Roman" w:hAnsi="Times New Roman"/>
          <w:sz w:val="20"/>
        </w:rPr>
      </w:pPr>
      <w:r>
        <w:rPr>
          <w:rFonts w:ascii="Times New Roman" w:hAnsi="Times New Roman"/>
          <w:sz w:val="20"/>
          <w:lang w:val="en-GB"/>
        </w:rPr>
        <w:t>Please provide your view on LS to SA3</w:t>
      </w:r>
      <w:r w:rsidR="00D45B7D">
        <w:rPr>
          <w:rFonts w:ascii="Times New Roman" w:hAnsi="Times New Roman"/>
          <w:sz w:val="20"/>
          <w:lang w:val="en-GB"/>
        </w:rPr>
        <w:t>, here or directly in the drafts folder (round 2).</w:t>
      </w:r>
    </w:p>
    <w:p w14:paraId="4192A07B" w14:textId="77777777" w:rsidR="00A35777" w:rsidRDefault="00A35777">
      <w:pPr>
        <w:pStyle w:val="00BodyText"/>
        <w:spacing w:after="0"/>
        <w:rPr>
          <w:rFonts w:ascii="Times New Roman" w:hAnsi="Times New Roman"/>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F30962" w14:paraId="6FA03708" w14:textId="77777777" w:rsidTr="00BD211F">
        <w:tc>
          <w:tcPr>
            <w:tcW w:w="1668" w:type="dxa"/>
            <w:shd w:val="clear" w:color="auto" w:fill="auto"/>
          </w:tcPr>
          <w:p w14:paraId="19F5A42D" w14:textId="77777777" w:rsidR="00F30962" w:rsidRDefault="00F30962" w:rsidP="00BD211F">
            <w:r>
              <w:t>Company</w:t>
            </w:r>
          </w:p>
        </w:tc>
        <w:tc>
          <w:tcPr>
            <w:tcW w:w="7620" w:type="dxa"/>
            <w:shd w:val="clear" w:color="auto" w:fill="auto"/>
          </w:tcPr>
          <w:p w14:paraId="7FA81E52" w14:textId="77777777" w:rsidR="00F30962" w:rsidRDefault="00F30962" w:rsidP="00BD211F">
            <w:r>
              <w:t>Comment</w:t>
            </w:r>
          </w:p>
        </w:tc>
      </w:tr>
      <w:tr w:rsidR="00F30962" w14:paraId="44755875" w14:textId="77777777" w:rsidTr="00BD211F">
        <w:tc>
          <w:tcPr>
            <w:tcW w:w="1668" w:type="dxa"/>
            <w:shd w:val="clear" w:color="auto" w:fill="auto"/>
          </w:tcPr>
          <w:p w14:paraId="706C28DC" w14:textId="2482501B" w:rsidR="00F30962" w:rsidRDefault="000C3303" w:rsidP="00BD211F">
            <w:r>
              <w:t>Ericsson</w:t>
            </w:r>
          </w:p>
        </w:tc>
        <w:tc>
          <w:tcPr>
            <w:tcW w:w="7620" w:type="dxa"/>
            <w:shd w:val="clear" w:color="auto" w:fill="auto"/>
          </w:tcPr>
          <w:p w14:paraId="006882FA" w14:textId="3002860B" w:rsidR="00F30962" w:rsidRDefault="000C3303" w:rsidP="00BD211F">
            <w:r>
              <w:t xml:space="preserve">We are in general ok with the draft LS from Nokia. We provided some rewording to improve </w:t>
            </w:r>
            <w:r w:rsidR="00E55662">
              <w:t>the text in the draft folder</w:t>
            </w:r>
          </w:p>
        </w:tc>
      </w:tr>
      <w:tr w:rsidR="00166FE2" w14:paraId="2A2F2DA1" w14:textId="77777777" w:rsidTr="00BD211F">
        <w:tc>
          <w:tcPr>
            <w:tcW w:w="1668" w:type="dxa"/>
            <w:shd w:val="clear" w:color="auto" w:fill="auto"/>
          </w:tcPr>
          <w:p w14:paraId="62E9767B" w14:textId="5B027DE9" w:rsidR="00166FE2" w:rsidRDefault="00166FE2" w:rsidP="00BD211F">
            <w:r>
              <w:t>Qualcomm</w:t>
            </w:r>
          </w:p>
        </w:tc>
        <w:tc>
          <w:tcPr>
            <w:tcW w:w="7620" w:type="dxa"/>
            <w:shd w:val="clear" w:color="auto" w:fill="auto"/>
          </w:tcPr>
          <w:p w14:paraId="7B93BC52" w14:textId="77777777" w:rsidR="00166FE2" w:rsidRDefault="00166FE2" w:rsidP="00BD211F">
            <w:r>
              <w:t>OK to send an LS to SA3 for checking whether this user consent applies to</w:t>
            </w:r>
            <w:r w:rsidR="00E07317">
              <w:t xml:space="preserve"> collection over</w:t>
            </w:r>
            <w:r>
              <w:t xml:space="preserve"> </w:t>
            </w:r>
            <w:proofErr w:type="spellStart"/>
            <w:r>
              <w:t>Uu</w:t>
            </w:r>
            <w:proofErr w:type="spellEnd"/>
            <w:r>
              <w:t xml:space="preserve"> </w:t>
            </w:r>
            <w:r w:rsidR="00402B4A">
              <w:t>or forwarding to TCE or both. Provided some comments in the draft LS</w:t>
            </w:r>
          </w:p>
          <w:p w14:paraId="31732A6C" w14:textId="30CA2C3B" w:rsidR="009D120F" w:rsidRDefault="009D120F" w:rsidP="00BD211F">
            <w:r>
              <w:t xml:space="preserve">On the </w:t>
            </w:r>
            <w:r w:rsidR="00B6579E">
              <w:t>provisioning-based</w:t>
            </w:r>
            <w:r>
              <w:t xml:space="preserve"> solution, </w:t>
            </w:r>
            <w:r w:rsidR="000165F7">
              <w:t>can</w:t>
            </w:r>
            <w:r>
              <w:t xml:space="preserve"> we </w:t>
            </w:r>
            <w:r w:rsidR="000165F7">
              <w:t>c</w:t>
            </w:r>
            <w:r>
              <w:t xml:space="preserve">heck with SA3 </w:t>
            </w:r>
            <w:r w:rsidR="000165F7">
              <w:t>instead of asking whether it is feasible? SA3 LS on provisioning-based solution was for NTN and not for location information</w:t>
            </w:r>
            <w:r w:rsidR="00B6579E">
              <w:t xml:space="preserve">. We still are not sure if there are any </w:t>
            </w:r>
            <w:r w:rsidR="00F845EA">
              <w:t xml:space="preserve">actual </w:t>
            </w:r>
            <w:r w:rsidR="00B6579E">
              <w:t>legal restrictions which say location information can be collected even if there is no user consent.</w:t>
            </w:r>
          </w:p>
        </w:tc>
      </w:tr>
      <w:tr w:rsidR="0026614D" w14:paraId="04022F54" w14:textId="77777777" w:rsidTr="00BD211F">
        <w:tc>
          <w:tcPr>
            <w:tcW w:w="1668" w:type="dxa"/>
            <w:shd w:val="clear" w:color="auto" w:fill="auto"/>
          </w:tcPr>
          <w:p w14:paraId="191016BC" w14:textId="62DE4FA7" w:rsidR="0026614D" w:rsidRPr="0026614D" w:rsidRDefault="0026614D" w:rsidP="00BD211F">
            <w:r>
              <w:t>Huawei</w:t>
            </w:r>
          </w:p>
        </w:tc>
        <w:tc>
          <w:tcPr>
            <w:tcW w:w="7620" w:type="dxa"/>
            <w:shd w:val="clear" w:color="auto" w:fill="auto"/>
          </w:tcPr>
          <w:p w14:paraId="1944EB43" w14:textId="101F2BFE" w:rsidR="0026614D" w:rsidRDefault="0026614D" w:rsidP="00BD211F">
            <w:r>
              <w:t>If the intention is to inform them about the status of RAN3.We prefer not to add too much discussion details in the LS. Please see the update version of the LS.</w:t>
            </w:r>
          </w:p>
        </w:tc>
      </w:tr>
      <w:tr w:rsidR="00196911" w14:paraId="58C9D260" w14:textId="77777777" w:rsidTr="00BD211F">
        <w:tc>
          <w:tcPr>
            <w:tcW w:w="1668" w:type="dxa"/>
            <w:shd w:val="clear" w:color="auto" w:fill="auto"/>
          </w:tcPr>
          <w:p w14:paraId="5E539D5C" w14:textId="1EC7B7BD" w:rsidR="00196911" w:rsidRDefault="00196911" w:rsidP="00BD211F">
            <w:r>
              <w:t>Nokia</w:t>
            </w:r>
          </w:p>
        </w:tc>
        <w:tc>
          <w:tcPr>
            <w:tcW w:w="7620" w:type="dxa"/>
            <w:shd w:val="clear" w:color="auto" w:fill="auto"/>
          </w:tcPr>
          <w:p w14:paraId="48C8C211" w14:textId="1D0DEFC5" w:rsidR="00196911" w:rsidRDefault="00196911" w:rsidP="00BD211F">
            <w:r>
              <w:t xml:space="preserve">@Huawei: We understood from your comments in 1st round </w:t>
            </w:r>
            <w:r w:rsidR="00161C94">
              <w:t xml:space="preserve">on option 2 </w:t>
            </w:r>
            <w:r>
              <w:t xml:space="preserve">that you believe the Rel-17 mechanism is not </w:t>
            </w:r>
            <w:proofErr w:type="gramStart"/>
            <w:r>
              <w:t>flexible</w:t>
            </w:r>
            <w:proofErr w:type="gramEnd"/>
            <w:r>
              <w:t xml:space="preserve"> but the release is frozen (which is true), however a framework providing more flexibility could be considered for Rel-18. I therefore made some further updates to the LS, reintegrating some of the text relative to option 2. Hope this could be helpful for SA3</w:t>
            </w:r>
            <w:r w:rsidR="00B04CB4">
              <w:t xml:space="preserve">, and ok with you? (I also updated the release (and </w:t>
            </w:r>
            <w:proofErr w:type="gramStart"/>
            <w:r w:rsidR="0064534A">
              <w:t>as a consequence</w:t>
            </w:r>
            <w:proofErr w:type="gramEnd"/>
            <w:r w:rsidR="0064534A">
              <w:t xml:space="preserve"> also the </w:t>
            </w:r>
            <w:r w:rsidR="00B04CB4">
              <w:t>WI code) of the LS</w:t>
            </w:r>
            <w:r w:rsidR="0064534A">
              <w:t xml:space="preserve"> - not sure what is most correct</w:t>
            </w:r>
            <w:r w:rsidR="00B04CB4">
              <w:t xml:space="preserve">). </w:t>
            </w:r>
          </w:p>
        </w:tc>
      </w:tr>
    </w:tbl>
    <w:p w14:paraId="6FE24C7F" w14:textId="77777777" w:rsidR="00CB5311" w:rsidRDefault="00CB5311">
      <w:pPr>
        <w:pStyle w:val="00BodyText"/>
        <w:spacing w:after="0"/>
        <w:rPr>
          <w:rFonts w:ascii="Times New Roman" w:hAnsi="Times New Roman"/>
          <w:sz w:val="20"/>
          <w:lang w:val="en-GB"/>
        </w:rPr>
      </w:pPr>
    </w:p>
    <w:p w14:paraId="54327AF6" w14:textId="1ECA4C39" w:rsidR="00C775C4" w:rsidRDefault="00A35777">
      <w:pPr>
        <w:pStyle w:val="Heading1"/>
      </w:pPr>
      <w:r>
        <w:t>4</w:t>
      </w:r>
      <w:r w:rsidR="004F42E0">
        <w:tab/>
        <w:t>Discussion</w:t>
      </w:r>
      <w:r>
        <w:t xml:space="preserve"> - round 1</w:t>
      </w:r>
    </w:p>
    <w:p w14:paraId="2FA416B2" w14:textId="51DAE38C" w:rsidR="00C775C4" w:rsidRDefault="00A35777">
      <w:pPr>
        <w:pStyle w:val="Heading2"/>
      </w:pPr>
      <w:r>
        <w:t>4</w:t>
      </w:r>
      <w:r w:rsidR="004F42E0">
        <w:t>.1 Determine principle to follow in WF</w:t>
      </w:r>
    </w:p>
    <w:p w14:paraId="450770A6" w14:textId="77777777" w:rsidR="00C775C4" w:rsidRDefault="004F42E0">
      <w:r>
        <w:t xml:space="preserve">Based on the submitted papers and chair's guidance above, the moderator observes that 3 main options can be identified by the submitted papers: </w:t>
      </w:r>
    </w:p>
    <w:p w14:paraId="49795CCE" w14:textId="77777777" w:rsidR="00C775C4" w:rsidRDefault="004F42E0">
      <w:pPr>
        <w:numPr>
          <w:ilvl w:val="0"/>
          <w:numId w:val="1"/>
        </w:numPr>
      </w:pPr>
      <w:r>
        <w:t xml:space="preserve">Option 1: Reply to SA3 along the lines that current specification already ensures user privacy, </w:t>
      </w:r>
      <w:proofErr w:type="gramStart"/>
      <w:r>
        <w:t>e.g.</w:t>
      </w:r>
      <w:proofErr w:type="gramEnd"/>
      <w:r>
        <w:t xml:space="preserve"> because selection of UE for MDT requires user consent and hence RLF/CEF reports are sent as MDT information to external entities (TCE) only if the user has provided his consent. (See 4242)</w:t>
      </w:r>
    </w:p>
    <w:p w14:paraId="4FEA3622" w14:textId="77777777" w:rsidR="00C775C4" w:rsidRDefault="004F42E0">
      <w:pPr>
        <w:numPr>
          <w:ilvl w:val="0"/>
          <w:numId w:val="1"/>
        </w:numPr>
      </w:pPr>
      <w:r>
        <w:lastRenderedPageBreak/>
        <w:t>Option 2: Reply to SA3 asking whether it is feasible and beneficial to agree to a user consent mechanism based on operators´ configurations of user consent information. (See 4573)</w:t>
      </w:r>
    </w:p>
    <w:p w14:paraId="672B9462" w14:textId="77777777" w:rsidR="00C775C4" w:rsidRDefault="004F42E0">
      <w:pPr>
        <w:numPr>
          <w:ilvl w:val="0"/>
          <w:numId w:val="1"/>
        </w:numPr>
      </w:pPr>
      <w:r>
        <w:t>Option 3: Update RAN3 specifications and inform SA3 about the changes. (See 4400, 4679)</w:t>
      </w:r>
    </w:p>
    <w:p w14:paraId="0DE8723C" w14:textId="77777777" w:rsidR="00C775C4" w:rsidRDefault="004F42E0">
      <w:pPr>
        <w:numPr>
          <w:ilvl w:val="0"/>
          <w:numId w:val="1"/>
        </w:numPr>
      </w:pPr>
      <w:r>
        <w:t>Option 4: Reply to SA3 about lack of consensus on this issue in RAN3 (See 4400)</w:t>
      </w:r>
    </w:p>
    <w:p w14:paraId="29731A3A" w14:textId="77777777" w:rsidR="00C775C4" w:rsidRDefault="004F42E0">
      <w:r>
        <w:t xml:space="preserve"> </w:t>
      </w:r>
      <w:proofErr w:type="gramStart"/>
      <w:r>
        <w:t>In order to</w:t>
      </w:r>
      <w:proofErr w:type="gramEnd"/>
      <w:r>
        <w:t xml:space="preserve"> converge on a principle to follow in way forward, we therefore ask companies to provide comments on each of these 3 options (Q1-Q3). Also, some of the options are not mutually exclusive, and we therefore ask companies to provide comments on any combination of these options that could be the basis for RAN3 agreement (in Q4).  </w:t>
      </w:r>
    </w:p>
    <w:p w14:paraId="3FC1DFEA" w14:textId="77777777" w:rsidR="00C775C4" w:rsidRDefault="004F42E0">
      <w:pPr>
        <w:rPr>
          <w:b/>
          <w:bCs/>
        </w:rPr>
      </w:pPr>
      <w:r>
        <w:rPr>
          <w:b/>
          <w:bCs/>
        </w:rPr>
        <w:t>Q1: Please provide your view on option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C775C4" w14:paraId="063AF5AF" w14:textId="77777777">
        <w:tc>
          <w:tcPr>
            <w:tcW w:w="1668" w:type="dxa"/>
            <w:shd w:val="clear" w:color="auto" w:fill="auto"/>
          </w:tcPr>
          <w:p w14:paraId="0BB7DA5E" w14:textId="77777777" w:rsidR="00C775C4" w:rsidRDefault="004F42E0">
            <w:r>
              <w:t>Company</w:t>
            </w:r>
          </w:p>
        </w:tc>
        <w:tc>
          <w:tcPr>
            <w:tcW w:w="7620" w:type="dxa"/>
            <w:shd w:val="clear" w:color="auto" w:fill="auto"/>
          </w:tcPr>
          <w:p w14:paraId="27411121" w14:textId="77777777" w:rsidR="00C775C4" w:rsidRDefault="004F42E0">
            <w:r>
              <w:t>Comment</w:t>
            </w:r>
          </w:p>
        </w:tc>
      </w:tr>
      <w:tr w:rsidR="00C775C4" w14:paraId="03F08F3B" w14:textId="77777777">
        <w:tc>
          <w:tcPr>
            <w:tcW w:w="1668" w:type="dxa"/>
            <w:shd w:val="clear" w:color="auto" w:fill="auto"/>
          </w:tcPr>
          <w:p w14:paraId="1EEFF41F" w14:textId="77777777" w:rsidR="00C775C4" w:rsidRDefault="004F42E0">
            <w:r>
              <w:t>Nokia</w:t>
            </w:r>
          </w:p>
        </w:tc>
        <w:tc>
          <w:tcPr>
            <w:tcW w:w="7620" w:type="dxa"/>
            <w:shd w:val="clear" w:color="auto" w:fill="auto"/>
          </w:tcPr>
          <w:p w14:paraId="76750FEB" w14:textId="77777777" w:rsidR="00C775C4" w:rsidRDefault="004F42E0">
            <w:r>
              <w:t xml:space="preserve">All companies seem to agree that the current user consent applies to selection of UEs for MDT, but some companies believe that RAN3 specification changes are needed to control reporting of detailed UE location information from the UE to the RAN. On our side we can agree that current specification doesn't control collection of detailed location information on the </w:t>
            </w:r>
            <w:proofErr w:type="spellStart"/>
            <w:r>
              <w:t>Uu</w:t>
            </w:r>
            <w:proofErr w:type="spellEnd"/>
            <w:r>
              <w:t xml:space="preserve"> interface, but we also consider that SA3's requirements for user privacy are still fulfilled because the UE is only identified using temporary identifiers in the RAN. This means that any coarse or detailed location information available in the RAN but not sent to external entities (TCE) can’t be used to localize any UE or user. Also, even without any reporting of UE location information from the UE, the RAN will in many cases still be aware of quite precise UE location </w:t>
            </w:r>
            <w:proofErr w:type="gramStart"/>
            <w:r>
              <w:t>e.g.</w:t>
            </w:r>
            <w:proofErr w:type="gramEnd"/>
            <w:r>
              <w:t xml:space="preserve"> based on the used beam and TA (timing advance), which may also be used together with other methods like radio measurement fingerprints. We believe that it would be beneficial for SA3 to be informed about this situation in an LS response from RAN3.</w:t>
            </w:r>
          </w:p>
        </w:tc>
      </w:tr>
      <w:tr w:rsidR="00C775C4" w14:paraId="36A17BD7" w14:textId="77777777">
        <w:tc>
          <w:tcPr>
            <w:tcW w:w="1668" w:type="dxa"/>
            <w:shd w:val="clear" w:color="auto" w:fill="auto"/>
          </w:tcPr>
          <w:p w14:paraId="3EB36A6E" w14:textId="77777777" w:rsidR="00C775C4" w:rsidRDefault="004F42E0">
            <w:r>
              <w:rPr>
                <w:rFonts w:hint="eastAsia"/>
              </w:rPr>
              <w:t>H</w:t>
            </w:r>
            <w:r>
              <w:t>uawei</w:t>
            </w:r>
          </w:p>
        </w:tc>
        <w:tc>
          <w:tcPr>
            <w:tcW w:w="7620" w:type="dxa"/>
            <w:shd w:val="clear" w:color="auto" w:fill="auto"/>
          </w:tcPr>
          <w:p w14:paraId="0406C6F2" w14:textId="77777777" w:rsidR="00C775C4" w:rsidRDefault="004F42E0">
            <w:r>
              <w:rPr>
                <w:rFonts w:hint="eastAsia"/>
              </w:rPr>
              <w:t>We are not sure whether option 1 satisfy the requirement of SA3 or not.</w:t>
            </w:r>
          </w:p>
          <w:p w14:paraId="130AE23F" w14:textId="77777777" w:rsidR="00C775C4" w:rsidRDefault="004F42E0">
            <w:r>
              <w:t>In principle, RAN3 should follow the guidance on any security issues from SA3, rather than trying to persuade them to accept the status quo.</w:t>
            </w:r>
          </w:p>
          <w:p w14:paraId="2396446F" w14:textId="77777777" w:rsidR="00C775C4" w:rsidRDefault="004F42E0">
            <w:r>
              <w:t>Technically, it is ambiguity on what RAN should do if it receives the RLF/CEF containing UE location information assuming that the user consent for MDT for that UE is available.</w:t>
            </w:r>
          </w:p>
          <w:p w14:paraId="56CC1CFB" w14:textId="77777777" w:rsidR="00C775C4" w:rsidRDefault="004F42E0">
            <w:r>
              <w:t>Could anyone clarify what is the NG-RAN node behaviour in this case?</w:t>
            </w:r>
          </w:p>
          <w:p w14:paraId="6F80AE09" w14:textId="77777777" w:rsidR="00C775C4" w:rsidRDefault="00C775C4"/>
        </w:tc>
      </w:tr>
      <w:tr w:rsidR="00C775C4" w14:paraId="79440501" w14:textId="77777777">
        <w:tc>
          <w:tcPr>
            <w:tcW w:w="1668" w:type="dxa"/>
            <w:shd w:val="clear" w:color="auto" w:fill="auto"/>
          </w:tcPr>
          <w:p w14:paraId="6C18C896" w14:textId="77777777" w:rsidR="00C775C4" w:rsidRDefault="004F42E0">
            <w:r>
              <w:t>Ericsson</w:t>
            </w:r>
          </w:p>
        </w:tc>
        <w:tc>
          <w:tcPr>
            <w:tcW w:w="7620" w:type="dxa"/>
            <w:shd w:val="clear" w:color="auto" w:fill="auto"/>
          </w:tcPr>
          <w:p w14:paraId="0DD40866" w14:textId="77777777" w:rsidR="00C775C4" w:rsidRDefault="004F42E0">
            <w:r>
              <w:t>In absence of convergence towards Option 2, we believe that Option 1 could also be valid, as collection and use of location information solely within the RAN does not create a security threat, as explained by Nokia.</w:t>
            </w:r>
          </w:p>
          <w:p w14:paraId="1A52E5BB" w14:textId="77777777" w:rsidR="00C775C4" w:rsidRDefault="00C775C4">
            <w:pPr>
              <w:rPr>
                <w:i/>
                <w:iCs/>
              </w:rPr>
            </w:pPr>
          </w:p>
        </w:tc>
      </w:tr>
      <w:tr w:rsidR="00C775C4" w14:paraId="7703EF80" w14:textId="77777777">
        <w:tc>
          <w:tcPr>
            <w:tcW w:w="1668" w:type="dxa"/>
            <w:shd w:val="clear" w:color="auto" w:fill="auto"/>
          </w:tcPr>
          <w:p w14:paraId="418101E8" w14:textId="77777777" w:rsidR="00C775C4" w:rsidRDefault="004F42E0">
            <w:r>
              <w:t>Apple</w:t>
            </w:r>
          </w:p>
        </w:tc>
        <w:tc>
          <w:tcPr>
            <w:tcW w:w="7620" w:type="dxa"/>
            <w:shd w:val="clear" w:color="auto" w:fill="auto"/>
          </w:tcPr>
          <w:p w14:paraId="0D32F594" w14:textId="77777777" w:rsidR="00C775C4" w:rsidRDefault="004F42E0">
            <w:r>
              <w:t>Option 1 is misleading, as the issue has nothing to do with MDT (as was clarified numerous times). In the absence of consensus in RAN3 (which appears to be the case, unfortunately) we should let SA3 know about the status.</w:t>
            </w:r>
          </w:p>
        </w:tc>
      </w:tr>
      <w:tr w:rsidR="00C775C4" w14:paraId="14C52764" w14:textId="77777777">
        <w:tc>
          <w:tcPr>
            <w:tcW w:w="1668" w:type="dxa"/>
            <w:shd w:val="clear" w:color="auto" w:fill="auto"/>
          </w:tcPr>
          <w:p w14:paraId="6D07FF4D" w14:textId="77777777" w:rsidR="00C775C4" w:rsidRDefault="004F42E0">
            <w:r>
              <w:t>Deutsche Telekom</w:t>
            </w:r>
          </w:p>
        </w:tc>
        <w:tc>
          <w:tcPr>
            <w:tcW w:w="7620" w:type="dxa"/>
            <w:shd w:val="clear" w:color="auto" w:fill="auto"/>
          </w:tcPr>
          <w:p w14:paraId="66DA2C46" w14:textId="77777777" w:rsidR="00C775C4" w:rsidRDefault="004F42E0">
            <w:r>
              <w:t xml:space="preserve">We share Apple’s view on Option 1. </w:t>
            </w:r>
          </w:p>
          <w:p w14:paraId="5AE16AA5" w14:textId="77777777" w:rsidR="00C775C4" w:rsidRDefault="004F42E0">
            <w:r>
              <w:t xml:space="preserve">In addition, we have a similar view as Huawei with respect to the interworking with SA3.It is not in RAN3’s responsibility to discuss interpretations of user consent related issues, but to follow guidelines by other WGs to specify the needed signalling. </w:t>
            </w:r>
          </w:p>
        </w:tc>
      </w:tr>
      <w:tr w:rsidR="00C775C4" w14:paraId="53A442B1" w14:textId="77777777">
        <w:tc>
          <w:tcPr>
            <w:tcW w:w="1668" w:type="dxa"/>
            <w:shd w:val="clear" w:color="auto" w:fill="auto"/>
          </w:tcPr>
          <w:p w14:paraId="6A84ECEF" w14:textId="77777777" w:rsidR="00C775C4" w:rsidRDefault="004F42E0">
            <w:r>
              <w:t>Qualcomm</w:t>
            </w:r>
          </w:p>
        </w:tc>
        <w:tc>
          <w:tcPr>
            <w:tcW w:w="7620" w:type="dxa"/>
            <w:shd w:val="clear" w:color="auto" w:fill="auto"/>
          </w:tcPr>
          <w:p w14:paraId="08828337" w14:textId="77777777" w:rsidR="00C775C4" w:rsidRDefault="004F42E0">
            <w:r>
              <w:t>Option 1 is misleading. Current spec on MDT User Consent does not imply there is a user consent for location retrieval for RLF/CEF reporting. Even though within RAN, UE is identified by temporary ID, from end UE/User perspective unless consent is available, network is not supposed to retrieve location information from UE.</w:t>
            </w:r>
          </w:p>
          <w:p w14:paraId="11F08829" w14:textId="77777777" w:rsidR="00C775C4" w:rsidRDefault="004F42E0">
            <w:r>
              <w:lastRenderedPageBreak/>
              <w:t xml:space="preserve">As Huawei has asked, </w:t>
            </w:r>
            <w:r>
              <w:rPr>
                <w:b/>
                <w:bCs/>
              </w:rPr>
              <w:t>how can we ensure that NG-RAN doesn’t send location information to TCE if there is no user consent?</w:t>
            </w:r>
            <w:r>
              <w:t xml:space="preserve"> It doesn’t matter if NG-RAN knows location information via some other means, but if a user has NOT provided a consent, NG-RAN should not share this location information with the TCE.</w:t>
            </w:r>
          </w:p>
        </w:tc>
      </w:tr>
      <w:tr w:rsidR="00C775C4" w14:paraId="702D29B2" w14:textId="77777777">
        <w:tc>
          <w:tcPr>
            <w:tcW w:w="1668" w:type="dxa"/>
            <w:shd w:val="clear" w:color="auto" w:fill="auto"/>
          </w:tcPr>
          <w:p w14:paraId="5F9F6A2C" w14:textId="77777777" w:rsidR="00C775C4" w:rsidRDefault="004F42E0">
            <w:r>
              <w:lastRenderedPageBreak/>
              <w:t>BT</w:t>
            </w:r>
          </w:p>
        </w:tc>
        <w:tc>
          <w:tcPr>
            <w:tcW w:w="7620" w:type="dxa"/>
            <w:shd w:val="clear" w:color="auto" w:fill="auto"/>
          </w:tcPr>
          <w:p w14:paraId="01B90D14" w14:textId="77777777" w:rsidR="00C775C4" w:rsidRDefault="004F42E0">
            <w:r>
              <w:t xml:space="preserve">We are also not sure if option 1 meets SA3 requirements where the location information contained within the RLF/CEF reports may be collected without consent for use solely within the RAN. </w:t>
            </w:r>
          </w:p>
          <w:p w14:paraId="33376BBE" w14:textId="77777777" w:rsidR="00C775C4" w:rsidRDefault="004F42E0">
            <w:r>
              <w:t xml:space="preserve"> In our view the intent of the original SA3 LS is on the collection of location information contained within RLF/CEF reports as per QC comment.</w:t>
            </w:r>
          </w:p>
        </w:tc>
      </w:tr>
      <w:tr w:rsidR="00C775C4" w14:paraId="221DB340" w14:textId="77777777">
        <w:tc>
          <w:tcPr>
            <w:tcW w:w="1668" w:type="dxa"/>
            <w:shd w:val="clear" w:color="auto" w:fill="auto"/>
          </w:tcPr>
          <w:p w14:paraId="0FA5820F" w14:textId="77777777" w:rsidR="00C775C4" w:rsidRDefault="004F42E0">
            <w:pPr>
              <w:rPr>
                <w:lang w:eastAsia="zh-CN"/>
              </w:rPr>
            </w:pPr>
            <w:r>
              <w:rPr>
                <w:rFonts w:hint="eastAsia"/>
                <w:lang w:eastAsia="zh-CN"/>
              </w:rPr>
              <w:t>Sa</w:t>
            </w:r>
            <w:r>
              <w:rPr>
                <w:lang w:eastAsia="zh-CN"/>
              </w:rPr>
              <w:t>msung</w:t>
            </w:r>
          </w:p>
        </w:tc>
        <w:tc>
          <w:tcPr>
            <w:tcW w:w="7620" w:type="dxa"/>
            <w:shd w:val="clear" w:color="auto" w:fill="auto"/>
          </w:tcPr>
          <w:p w14:paraId="5B7B3E9B" w14:textId="77777777" w:rsidR="00C775C4" w:rsidRDefault="004F42E0">
            <w:pPr>
              <w:rPr>
                <w:lang w:eastAsia="zh-CN"/>
              </w:rPr>
            </w:pPr>
            <w:r>
              <w:rPr>
                <w:lang w:eastAsia="zh-CN"/>
              </w:rPr>
              <w:t xml:space="preserve">Currently the MDT consent is used for UE selection. </w:t>
            </w:r>
            <w:r>
              <w:t>Based on existing description, there is no description that it</w:t>
            </w:r>
            <w:r>
              <w:rPr>
                <w:lang w:eastAsia="zh-CN"/>
              </w:rPr>
              <w:t xml:space="preserve"> can used to control </w:t>
            </w:r>
            <w:r>
              <w:t>RLF/CEF reporting.</w:t>
            </w:r>
          </w:p>
        </w:tc>
      </w:tr>
      <w:tr w:rsidR="00C775C4" w14:paraId="475DE245" w14:textId="77777777">
        <w:tc>
          <w:tcPr>
            <w:tcW w:w="1668" w:type="dxa"/>
            <w:shd w:val="clear" w:color="auto" w:fill="auto"/>
          </w:tcPr>
          <w:p w14:paraId="68726A26" w14:textId="77777777" w:rsidR="00C775C4" w:rsidRDefault="004F42E0">
            <w:pPr>
              <w:rPr>
                <w:lang w:eastAsia="zh-CN"/>
              </w:rPr>
            </w:pPr>
            <w:r>
              <w:rPr>
                <w:rFonts w:hint="eastAsia"/>
                <w:lang w:eastAsia="zh-CN"/>
              </w:rPr>
              <w:t>CMCC</w:t>
            </w:r>
          </w:p>
        </w:tc>
        <w:tc>
          <w:tcPr>
            <w:tcW w:w="7620" w:type="dxa"/>
            <w:shd w:val="clear" w:color="auto" w:fill="auto"/>
          </w:tcPr>
          <w:p w14:paraId="085F3416" w14:textId="77777777" w:rsidR="00C775C4" w:rsidRDefault="004F42E0">
            <w:pPr>
              <w:rPr>
                <w:lang w:eastAsia="zh-CN"/>
              </w:rPr>
            </w:pPr>
            <w:r>
              <w:rPr>
                <w:lang w:eastAsia="zh-CN"/>
              </w:rPr>
              <w:t>Same</w:t>
            </w:r>
            <w:r>
              <w:rPr>
                <w:rFonts w:hint="eastAsia"/>
                <w:lang w:eastAsia="zh-CN"/>
              </w:rPr>
              <w:t xml:space="preserve"> view as Nokia and Ericsson, t</w:t>
            </w:r>
            <w:r>
              <w:t>he RAN will not be able to send any MDT information (including RLF/CEF reports) to external entity (</w:t>
            </w:r>
            <w:proofErr w:type="gramStart"/>
            <w:r>
              <w:t>i.e.</w:t>
            </w:r>
            <w:proofErr w:type="gramEnd"/>
            <w:r>
              <w:t xml:space="preserve"> the TCE) if the UE is not selected for MDT</w:t>
            </w:r>
            <w:r>
              <w:rPr>
                <w:rFonts w:hint="eastAsia"/>
                <w:lang w:eastAsia="zh-CN"/>
              </w:rPr>
              <w:t xml:space="preserve">. </w:t>
            </w:r>
            <w:proofErr w:type="gramStart"/>
            <w:r>
              <w:rPr>
                <w:rFonts w:hint="eastAsia"/>
                <w:lang w:eastAsia="zh-CN"/>
              </w:rPr>
              <w:t>So</w:t>
            </w:r>
            <w:proofErr w:type="gramEnd"/>
            <w:r>
              <w:rPr>
                <w:rFonts w:hint="eastAsia"/>
                <w:lang w:eastAsia="zh-CN"/>
              </w:rPr>
              <w:t xml:space="preserve"> we think the </w:t>
            </w:r>
            <w:r>
              <w:rPr>
                <w:lang w:eastAsia="zh-CN"/>
              </w:rPr>
              <w:t>requirement</w:t>
            </w:r>
            <w:r>
              <w:rPr>
                <w:rFonts w:hint="eastAsia"/>
                <w:lang w:eastAsia="zh-CN"/>
              </w:rPr>
              <w:t xml:space="preserve"> from SA3 has been fulfilled.</w:t>
            </w:r>
          </w:p>
        </w:tc>
      </w:tr>
      <w:tr w:rsidR="00C775C4" w14:paraId="7BDB69C5" w14:textId="77777777">
        <w:tc>
          <w:tcPr>
            <w:tcW w:w="1668" w:type="dxa"/>
            <w:shd w:val="clear" w:color="auto" w:fill="auto"/>
          </w:tcPr>
          <w:p w14:paraId="77BE4655" w14:textId="77777777" w:rsidR="00C775C4" w:rsidRDefault="004F42E0">
            <w:pPr>
              <w:rPr>
                <w:lang w:val="en-US" w:eastAsia="zh-CN"/>
              </w:rPr>
            </w:pPr>
            <w:r>
              <w:rPr>
                <w:rFonts w:hint="eastAsia"/>
                <w:lang w:val="en-US" w:eastAsia="zh-CN"/>
              </w:rPr>
              <w:t>ZTE</w:t>
            </w:r>
          </w:p>
        </w:tc>
        <w:tc>
          <w:tcPr>
            <w:tcW w:w="7620" w:type="dxa"/>
            <w:shd w:val="clear" w:color="auto" w:fill="auto"/>
          </w:tcPr>
          <w:p w14:paraId="599D1FD7" w14:textId="77777777" w:rsidR="00C775C4" w:rsidRDefault="004F42E0">
            <w:pPr>
              <w:rPr>
                <w:lang w:val="en-US" w:eastAsia="zh-CN"/>
              </w:rPr>
            </w:pPr>
            <w:r>
              <w:t>We are also not sure if option 1 meets SA3 requirements</w:t>
            </w:r>
            <w:r>
              <w:rPr>
                <w:rFonts w:hint="eastAsia"/>
                <w:lang w:val="en-US" w:eastAsia="zh-CN"/>
              </w:rPr>
              <w:t>,because c</w:t>
            </w:r>
            <w:proofErr w:type="spellStart"/>
            <w:r>
              <w:rPr>
                <w:lang w:eastAsia="zh-CN"/>
              </w:rPr>
              <w:t>urrently</w:t>
            </w:r>
            <w:proofErr w:type="spellEnd"/>
            <w:r>
              <w:rPr>
                <w:lang w:eastAsia="zh-CN"/>
              </w:rPr>
              <w:t xml:space="preserve"> the MDT consent is used for UE selection</w:t>
            </w:r>
            <w:r>
              <w:rPr>
                <w:rFonts w:hint="eastAsia"/>
                <w:lang w:val="en-US" w:eastAsia="zh-CN"/>
              </w:rPr>
              <w:t>.</w:t>
            </w:r>
          </w:p>
        </w:tc>
      </w:tr>
    </w:tbl>
    <w:p w14:paraId="229C0BE3" w14:textId="5A80EF08" w:rsidR="009C7469" w:rsidRDefault="009C7469">
      <w:pPr>
        <w:rPr>
          <w:b/>
          <w:bCs/>
          <w:u w:val="single"/>
        </w:rPr>
      </w:pPr>
      <w:r>
        <w:rPr>
          <w:b/>
          <w:bCs/>
          <w:u w:val="single"/>
        </w:rPr>
        <w:t>Summary of Q1:</w:t>
      </w:r>
    </w:p>
    <w:p w14:paraId="3137B4C5" w14:textId="175CC17F" w:rsidR="009C7469" w:rsidRDefault="009C7469">
      <w:r w:rsidRPr="00C81103">
        <w:rPr>
          <w:u w:val="single"/>
        </w:rPr>
        <w:t>Overview of the replies:</w:t>
      </w:r>
      <w:r w:rsidRPr="00C81103">
        <w:rPr>
          <w:b/>
          <w:bCs/>
          <w:u w:val="single"/>
        </w:rPr>
        <w:t xml:space="preserve"> </w:t>
      </w:r>
      <w:r>
        <w:t>Positive: 3 companies; Not sure: 3 companies; Negative: 4 companies</w:t>
      </w:r>
    </w:p>
    <w:p w14:paraId="0069AA3C" w14:textId="265747A6" w:rsidR="009C7469" w:rsidRDefault="009C7469">
      <w:r>
        <w:t>Comment from the moderator: The option is not agreeable as such.</w:t>
      </w:r>
      <w:r w:rsidR="007D2A2B">
        <w:t xml:space="preserve"> Some companies believe it would need confirmation by SA3.</w:t>
      </w:r>
    </w:p>
    <w:p w14:paraId="5DC5E67C" w14:textId="77777777" w:rsidR="00C775C4" w:rsidRDefault="004F42E0">
      <w:pPr>
        <w:rPr>
          <w:b/>
          <w:bCs/>
        </w:rPr>
      </w:pPr>
      <w:r>
        <w:rPr>
          <w:b/>
          <w:bCs/>
        </w:rPr>
        <w:t>Q2: Please provide your view on option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C775C4" w14:paraId="6753F908" w14:textId="77777777">
        <w:tc>
          <w:tcPr>
            <w:tcW w:w="1668" w:type="dxa"/>
            <w:shd w:val="clear" w:color="auto" w:fill="auto"/>
          </w:tcPr>
          <w:p w14:paraId="0C280CB3" w14:textId="77777777" w:rsidR="00C775C4" w:rsidRDefault="004F42E0">
            <w:r>
              <w:t>Company</w:t>
            </w:r>
          </w:p>
        </w:tc>
        <w:tc>
          <w:tcPr>
            <w:tcW w:w="7620" w:type="dxa"/>
            <w:shd w:val="clear" w:color="auto" w:fill="auto"/>
          </w:tcPr>
          <w:p w14:paraId="777BE6D9" w14:textId="77777777" w:rsidR="00C775C4" w:rsidRDefault="004F42E0">
            <w:r>
              <w:t>Comment</w:t>
            </w:r>
          </w:p>
        </w:tc>
      </w:tr>
      <w:tr w:rsidR="00C775C4" w14:paraId="2DAAEC6B" w14:textId="77777777">
        <w:tc>
          <w:tcPr>
            <w:tcW w:w="1668" w:type="dxa"/>
            <w:shd w:val="clear" w:color="auto" w:fill="auto"/>
          </w:tcPr>
          <w:p w14:paraId="1B859ED2" w14:textId="77777777" w:rsidR="00C775C4" w:rsidRDefault="004F42E0">
            <w:r>
              <w:t>Nokia</w:t>
            </w:r>
          </w:p>
        </w:tc>
        <w:tc>
          <w:tcPr>
            <w:tcW w:w="7620" w:type="dxa"/>
            <w:shd w:val="clear" w:color="auto" w:fill="auto"/>
          </w:tcPr>
          <w:p w14:paraId="702A9BE1" w14:textId="77777777" w:rsidR="00C775C4" w:rsidRDefault="004F42E0">
            <w:r>
              <w:t xml:space="preserve">We believe 4573 raises a good point. The principle of the current 3GPP standards on user consent was designed around Rel-10(?), so more than 10 years ago, and it would be beneficial to request a reassessment from SA3 introducing better means for </w:t>
            </w:r>
            <w:proofErr w:type="gramStart"/>
            <w:r>
              <w:t>e.g.</w:t>
            </w:r>
            <w:proofErr w:type="gramEnd"/>
            <w:r>
              <w:t xml:space="preserve"> regional adaptation of user consent requirements in the 3GPP specification. </w:t>
            </w:r>
          </w:p>
        </w:tc>
      </w:tr>
      <w:tr w:rsidR="00C775C4" w14:paraId="54141203" w14:textId="77777777">
        <w:tc>
          <w:tcPr>
            <w:tcW w:w="1668" w:type="dxa"/>
            <w:shd w:val="clear" w:color="auto" w:fill="auto"/>
          </w:tcPr>
          <w:p w14:paraId="113C8B15" w14:textId="77777777" w:rsidR="00C775C4" w:rsidRDefault="004F42E0">
            <w:r>
              <w:rPr>
                <w:rFonts w:hint="eastAsia"/>
              </w:rPr>
              <w:t>Huawei</w:t>
            </w:r>
          </w:p>
        </w:tc>
        <w:tc>
          <w:tcPr>
            <w:tcW w:w="7620" w:type="dxa"/>
            <w:shd w:val="clear" w:color="auto" w:fill="auto"/>
          </w:tcPr>
          <w:p w14:paraId="5AB05FAC" w14:textId="77777777" w:rsidR="00C775C4" w:rsidRDefault="004F42E0">
            <w:pPr>
              <w:rPr>
                <w:lang w:val="en-US" w:eastAsia="zh-CN"/>
              </w:rPr>
            </w:pPr>
            <w:r>
              <w:rPr>
                <w:lang w:val="en-US" w:eastAsia="zh-CN"/>
              </w:rPr>
              <w:t xml:space="preserve">Option 1 and option 2 seems contradicting with each other. </w:t>
            </w:r>
          </w:p>
          <w:p w14:paraId="3B53286B" w14:textId="77777777" w:rsidR="00C775C4" w:rsidRDefault="004F42E0">
            <w:pPr>
              <w:rPr>
                <w:lang w:val="en-US" w:eastAsia="zh-CN"/>
              </w:rPr>
            </w:pPr>
            <w:r>
              <w:rPr>
                <w:lang w:val="en-US" w:eastAsia="zh-CN"/>
              </w:rPr>
              <w:t xml:space="preserve">If as Nokia justified above, option 1 has already match the SA3 requirement on user consent for UE location well, then it seems option 2 is not needed. Because </w:t>
            </w:r>
            <w:proofErr w:type="gramStart"/>
            <w:r>
              <w:rPr>
                <w:lang w:val="en-US" w:eastAsia="zh-CN"/>
              </w:rPr>
              <w:t>no any</w:t>
            </w:r>
            <w:proofErr w:type="gramEnd"/>
            <w:r>
              <w:rPr>
                <w:lang w:val="en-US" w:eastAsia="zh-CN"/>
              </w:rPr>
              <w:t xml:space="preserve"> issue observed in legacy approach. </w:t>
            </w:r>
          </w:p>
          <w:p w14:paraId="00427009" w14:textId="77777777" w:rsidR="00C775C4" w:rsidRDefault="004F42E0">
            <w:pPr>
              <w:rPr>
                <w:lang w:val="en-US" w:eastAsia="zh-CN"/>
              </w:rPr>
            </w:pPr>
            <w:r>
              <w:rPr>
                <w:lang w:val="en-US" w:eastAsia="zh-CN"/>
              </w:rPr>
              <w:t>To be honest, we acknowledge that the legacy user consent mechanism for MDT is not flexible. Considering that rel-17 MDT is frozen, we cannot look for a new framework to replace the existing one. Any new mechanisms should be for rel-18.</w:t>
            </w:r>
          </w:p>
          <w:p w14:paraId="0FD0B09C" w14:textId="77777777" w:rsidR="00C775C4" w:rsidRDefault="004F42E0">
            <w:pPr>
              <w:rPr>
                <w:lang w:val="en-US" w:eastAsia="zh-CN"/>
              </w:rPr>
            </w:pPr>
            <w:r>
              <w:rPr>
                <w:lang w:val="en-US" w:eastAsia="zh-CN"/>
              </w:rPr>
              <w:t xml:space="preserve">Fixing the issue in rel-17 MDT by a minimum solution seems the most feasible way. </w:t>
            </w:r>
          </w:p>
        </w:tc>
      </w:tr>
      <w:tr w:rsidR="00C775C4" w14:paraId="3AACBA26" w14:textId="77777777">
        <w:tc>
          <w:tcPr>
            <w:tcW w:w="1668" w:type="dxa"/>
            <w:shd w:val="clear" w:color="auto" w:fill="auto"/>
          </w:tcPr>
          <w:p w14:paraId="2103CDEC" w14:textId="77777777" w:rsidR="00C775C4" w:rsidRDefault="004F42E0">
            <w:r>
              <w:t>Ericsson</w:t>
            </w:r>
          </w:p>
        </w:tc>
        <w:tc>
          <w:tcPr>
            <w:tcW w:w="7620" w:type="dxa"/>
            <w:shd w:val="clear" w:color="auto" w:fill="auto"/>
          </w:tcPr>
          <w:p w14:paraId="29FF91B4" w14:textId="77777777" w:rsidR="00C775C4" w:rsidRDefault="004F42E0">
            <w:r>
              <w:t xml:space="preserve">We support Option 2, which reuses the current user consent mechanism and that leaves it up to the operator to configure whether current user consent needs to also cover location information in RLF and CEF reports. </w:t>
            </w:r>
          </w:p>
          <w:p w14:paraId="4C857E5B" w14:textId="77777777" w:rsidR="00C775C4" w:rsidRDefault="004F42E0">
            <w:r>
              <w:t xml:space="preserve">We believe that Option 2 is the option with the smallest impact on Rel17. All option 2 requires is that the operator configures a flag in the RAN stating whether current user consent covers location info in RLF and CEF reports. This configuration is likely done only once because it depends on local regulation, which can be considered static. This approach also paves the way for the future, where it would be appropriate if the information subject to user consent could be configurable. </w:t>
            </w:r>
          </w:p>
          <w:p w14:paraId="384D4C57" w14:textId="77777777" w:rsidR="00C775C4" w:rsidRDefault="004F42E0">
            <w:r>
              <w:lastRenderedPageBreak/>
              <w:t>Note that SA3 has already suggested to RAN3 to follow a solution for user consent based on configuration for Re17. This has been stated in the LS R3-224220, where SA3 states the following:</w:t>
            </w:r>
          </w:p>
          <w:p w14:paraId="087672EF" w14:textId="77777777" w:rsidR="00C775C4" w:rsidRDefault="004F42E0">
            <w:pPr>
              <w:pStyle w:val="ReviewText"/>
            </w:pPr>
            <w:r>
              <w:t xml:space="preserve">“SA3 will study potential solutions for User Consent for the NTN use case in Rel-18. For Rel-17 SA3 would like to remind RAN2 that </w:t>
            </w:r>
            <w:r>
              <w:rPr>
                <w:highlight w:val="yellow"/>
              </w:rPr>
              <w:t>whether user consent is required would depend on local regulations</w:t>
            </w:r>
            <w:r>
              <w:t xml:space="preserve">. </w:t>
            </w:r>
            <w:r>
              <w:rPr>
                <w:highlight w:val="yellow"/>
              </w:rPr>
              <w:t xml:space="preserve">For Rel-17, in regions where user consent is required for NTN, SA3 recommends that the user consent requirement be met via provisional means, </w:t>
            </w:r>
            <w:proofErr w:type="gramStart"/>
            <w:r>
              <w:rPr>
                <w:highlight w:val="yellow"/>
              </w:rPr>
              <w:t>e.g.</w:t>
            </w:r>
            <w:proofErr w:type="gramEnd"/>
            <w:r>
              <w:rPr>
                <w:highlight w:val="yellow"/>
              </w:rPr>
              <w:t xml:space="preserve"> per gNB/NTN-GW </w:t>
            </w:r>
            <w:r>
              <w:rPr>
                <w:b/>
                <w:bCs/>
                <w:highlight w:val="yellow"/>
              </w:rPr>
              <w:t>configuration</w:t>
            </w:r>
            <w:r>
              <w:t xml:space="preserve"> (consent granted for all UEs subscribing for NTN) based on the service-level agreement between the operator and its NTN subscribers.”</w:t>
            </w:r>
          </w:p>
          <w:p w14:paraId="4323FFAF" w14:textId="77777777" w:rsidR="00C775C4" w:rsidRDefault="00C775C4">
            <w:pPr>
              <w:pStyle w:val="ReviewText"/>
            </w:pPr>
          </w:p>
          <w:p w14:paraId="5714B3A4" w14:textId="77777777" w:rsidR="00C775C4" w:rsidRDefault="004F42E0">
            <w:r>
              <w:t xml:space="preserve">The above text is in the context of NTN, but the principles exposed by SA3 are valid for any feature. </w:t>
            </w:r>
          </w:p>
          <w:p w14:paraId="503C76F7" w14:textId="77777777" w:rsidR="00C775C4" w:rsidRDefault="004F42E0">
            <w:r>
              <w:t xml:space="preserve">Hence, in SA3´s opinion, a solution based on configuration of the information subject to user consent is in scope of Rel17.  </w:t>
            </w:r>
          </w:p>
        </w:tc>
      </w:tr>
      <w:tr w:rsidR="00C775C4" w14:paraId="20C3019A" w14:textId="77777777">
        <w:tc>
          <w:tcPr>
            <w:tcW w:w="1668" w:type="dxa"/>
            <w:shd w:val="clear" w:color="auto" w:fill="auto"/>
          </w:tcPr>
          <w:p w14:paraId="0F6E042C" w14:textId="77777777" w:rsidR="00C775C4" w:rsidRDefault="004F42E0">
            <w:r>
              <w:lastRenderedPageBreak/>
              <w:t>Apple</w:t>
            </w:r>
          </w:p>
        </w:tc>
        <w:tc>
          <w:tcPr>
            <w:tcW w:w="7620" w:type="dxa"/>
            <w:shd w:val="clear" w:color="auto" w:fill="auto"/>
          </w:tcPr>
          <w:p w14:paraId="0AA2C096" w14:textId="77777777" w:rsidR="00C775C4" w:rsidRDefault="004F42E0">
            <w:r>
              <w:t xml:space="preserve">We don’t understand this option. What exactly is meant by “operators´ configurations of user consent information”? </w:t>
            </w:r>
          </w:p>
        </w:tc>
      </w:tr>
      <w:tr w:rsidR="00C775C4" w14:paraId="10D6A8B8" w14:textId="77777777">
        <w:tc>
          <w:tcPr>
            <w:tcW w:w="1668" w:type="dxa"/>
            <w:shd w:val="clear" w:color="auto" w:fill="auto"/>
          </w:tcPr>
          <w:p w14:paraId="742132E1" w14:textId="77777777" w:rsidR="00C775C4" w:rsidRDefault="004F42E0">
            <w:r>
              <w:t>Deutsche Telekom</w:t>
            </w:r>
          </w:p>
        </w:tc>
        <w:tc>
          <w:tcPr>
            <w:tcW w:w="7620" w:type="dxa"/>
            <w:shd w:val="clear" w:color="auto" w:fill="auto"/>
          </w:tcPr>
          <w:p w14:paraId="38A9DBF2" w14:textId="77777777" w:rsidR="00C775C4" w:rsidRDefault="004F42E0">
            <w:r>
              <w:t xml:space="preserve">It is true that current MDT framework is not flexible with respect to configuration of details for user consent. But for us as operator, it is questionable if SA3 is the relevant WG to provide clarifications on that. SA3 is defining the security and privacy issues to be considered by 3GPP specifications, but do we have </w:t>
            </w:r>
            <w:proofErr w:type="gramStart"/>
            <w:r>
              <w:t>at the moment</w:t>
            </w:r>
            <w:proofErr w:type="gramEnd"/>
            <w:r>
              <w:t xml:space="preserve"> requirements on having configurable information subject to user consent? Therefore, from our perspective, we should also involve SA1 in a LS to get their feedback if such configurability for user consent is required. </w:t>
            </w:r>
          </w:p>
          <w:p w14:paraId="6767B6A4" w14:textId="77777777" w:rsidR="00C775C4" w:rsidRDefault="004F42E0">
            <w:r>
              <w:t xml:space="preserve">Companies in RAN3 are also reminded that in the original LS from SA3 RAN3 was in Cc only. The same is also true for the LS mentioned by Ericsson above. Both were directed to RAN2, i.e., RAN3 should get guidance from RAN2, if required.  </w:t>
            </w:r>
          </w:p>
        </w:tc>
      </w:tr>
      <w:tr w:rsidR="00C775C4" w14:paraId="044AAB5B" w14:textId="77777777">
        <w:tc>
          <w:tcPr>
            <w:tcW w:w="1668" w:type="dxa"/>
            <w:shd w:val="clear" w:color="auto" w:fill="auto"/>
          </w:tcPr>
          <w:p w14:paraId="161346FB" w14:textId="77777777" w:rsidR="00C775C4" w:rsidRDefault="004F42E0">
            <w:r>
              <w:t>Qualcomm</w:t>
            </w:r>
          </w:p>
        </w:tc>
        <w:tc>
          <w:tcPr>
            <w:tcW w:w="7620" w:type="dxa"/>
            <w:shd w:val="clear" w:color="auto" w:fill="auto"/>
          </w:tcPr>
          <w:p w14:paraId="7C96BE22" w14:textId="77777777" w:rsidR="00C775C4" w:rsidRDefault="004F42E0">
            <w:r>
              <w:t>We also don’t understand this option.</w:t>
            </w:r>
          </w:p>
          <w:p w14:paraId="3E090BF9" w14:textId="77777777" w:rsidR="00C775C4" w:rsidRDefault="004F42E0">
            <w:r>
              <w:t xml:space="preserve">Even if the operator configures a </w:t>
            </w:r>
            <w:r>
              <w:rPr>
                <w:b/>
                <w:bCs/>
              </w:rPr>
              <w:t>static</w:t>
            </w:r>
            <w:r>
              <w:t xml:space="preserve"> (one-time) flag to the RAN mentioning whether current (MDT) user consent covers location info in RLF and CEF reports (based on local legal restrictions), </w:t>
            </w:r>
            <w:r>
              <w:rPr>
                <w:b/>
                <w:bCs/>
              </w:rPr>
              <w:t>how can this cover the case that only some UEs provide user consent</w:t>
            </w:r>
            <w:r>
              <w:t xml:space="preserve">? This would mean either none of the UEs location information will sent to TCE (even those who have user consent) or </w:t>
            </w:r>
            <w:proofErr w:type="gramStart"/>
            <w:r>
              <w:t>all of</w:t>
            </w:r>
            <w:proofErr w:type="gramEnd"/>
            <w:r>
              <w:t xml:space="preserve"> the UEs location information will be sent to TCE (even those who have not provided user consent).</w:t>
            </w:r>
          </w:p>
          <w:p w14:paraId="7C1D1F67" w14:textId="77777777" w:rsidR="00C775C4" w:rsidRDefault="004F42E0">
            <w:r>
              <w:t xml:space="preserve">Or is this flag sent for every UE? </w:t>
            </w:r>
            <w:proofErr w:type="gramStart"/>
            <w:r>
              <w:t>Also</w:t>
            </w:r>
            <w:proofErr w:type="gramEnd"/>
            <w:r>
              <w:t xml:space="preserve"> what happens upon user consent change – is the flag updated?</w:t>
            </w:r>
          </w:p>
        </w:tc>
      </w:tr>
      <w:tr w:rsidR="00C775C4" w14:paraId="10DE60D2" w14:textId="77777777">
        <w:tc>
          <w:tcPr>
            <w:tcW w:w="1668" w:type="dxa"/>
            <w:shd w:val="clear" w:color="auto" w:fill="auto"/>
          </w:tcPr>
          <w:p w14:paraId="3F9C7C21" w14:textId="77777777" w:rsidR="00C775C4" w:rsidRDefault="004F42E0">
            <w:r>
              <w:t>BT</w:t>
            </w:r>
          </w:p>
        </w:tc>
        <w:tc>
          <w:tcPr>
            <w:tcW w:w="7620" w:type="dxa"/>
            <w:shd w:val="clear" w:color="auto" w:fill="auto"/>
          </w:tcPr>
          <w:p w14:paraId="7152CF0F" w14:textId="77777777" w:rsidR="00C775C4" w:rsidRDefault="004F42E0">
            <w:r>
              <w:t xml:space="preserve">In our view this could be a future study item in SA3 R18? Where it could be </w:t>
            </w:r>
            <w:proofErr w:type="gramStart"/>
            <w:r>
              <w:t>determine</w:t>
            </w:r>
            <w:proofErr w:type="gramEnd"/>
            <w:r>
              <w:t xml:space="preserve"> if global regulations necessitates further granularity of which reports are subject to user consent.</w:t>
            </w:r>
          </w:p>
        </w:tc>
      </w:tr>
      <w:tr w:rsidR="00C775C4" w14:paraId="2510CA7F" w14:textId="77777777">
        <w:tc>
          <w:tcPr>
            <w:tcW w:w="1668" w:type="dxa"/>
            <w:shd w:val="clear" w:color="auto" w:fill="auto"/>
          </w:tcPr>
          <w:p w14:paraId="3E352132" w14:textId="77777777" w:rsidR="00C775C4" w:rsidRDefault="004F42E0">
            <w:pPr>
              <w:rPr>
                <w:lang w:eastAsia="zh-CN"/>
              </w:rPr>
            </w:pPr>
            <w:r>
              <w:rPr>
                <w:rFonts w:hint="eastAsia"/>
                <w:lang w:eastAsia="zh-CN"/>
              </w:rPr>
              <w:t>S</w:t>
            </w:r>
            <w:r>
              <w:rPr>
                <w:lang w:eastAsia="zh-CN"/>
              </w:rPr>
              <w:t>amsung</w:t>
            </w:r>
          </w:p>
        </w:tc>
        <w:tc>
          <w:tcPr>
            <w:tcW w:w="7620" w:type="dxa"/>
            <w:shd w:val="clear" w:color="auto" w:fill="auto"/>
          </w:tcPr>
          <w:p w14:paraId="17474AE4" w14:textId="77777777" w:rsidR="00C775C4" w:rsidRDefault="004F42E0">
            <w:pPr>
              <w:rPr>
                <w:lang w:eastAsia="zh-CN"/>
              </w:rPr>
            </w:pPr>
            <w:r>
              <w:rPr>
                <w:lang w:eastAsia="zh-CN"/>
              </w:rPr>
              <w:t xml:space="preserve">My understanding is in option 2, OAM can set a flag whether the MDT consent is used for RLF/CEF as well. Then that means MDT consent can be used for RLF/CEF reporting. It seems option 2 is an on-top solution. </w:t>
            </w:r>
          </w:p>
        </w:tc>
      </w:tr>
      <w:tr w:rsidR="00C775C4" w14:paraId="33B99325" w14:textId="77777777">
        <w:tc>
          <w:tcPr>
            <w:tcW w:w="1668" w:type="dxa"/>
            <w:shd w:val="clear" w:color="auto" w:fill="auto"/>
          </w:tcPr>
          <w:p w14:paraId="1035306C" w14:textId="77777777" w:rsidR="00C775C4" w:rsidRDefault="004F42E0">
            <w:pPr>
              <w:rPr>
                <w:lang w:eastAsia="zh-CN"/>
              </w:rPr>
            </w:pPr>
            <w:r>
              <w:rPr>
                <w:lang w:eastAsia="zh-CN"/>
              </w:rPr>
              <w:t>Ericsson2</w:t>
            </w:r>
          </w:p>
        </w:tc>
        <w:tc>
          <w:tcPr>
            <w:tcW w:w="7620" w:type="dxa"/>
            <w:shd w:val="clear" w:color="auto" w:fill="auto"/>
          </w:tcPr>
          <w:p w14:paraId="638F613F" w14:textId="77777777" w:rsidR="00C775C4" w:rsidRDefault="004F42E0">
            <w:pPr>
              <w:rPr>
                <w:lang w:eastAsia="zh-CN"/>
              </w:rPr>
            </w:pPr>
            <w:r>
              <w:rPr>
                <w:lang w:eastAsia="zh-CN"/>
              </w:rPr>
              <w:t>In reply to the comments above, in option 2 the following happens:</w:t>
            </w:r>
          </w:p>
          <w:p w14:paraId="0E9288B4" w14:textId="77777777" w:rsidR="00C775C4" w:rsidRDefault="004F42E0">
            <w:pPr>
              <w:pStyle w:val="ListParagraph"/>
              <w:numPr>
                <w:ilvl w:val="0"/>
                <w:numId w:val="2"/>
              </w:numPr>
              <w:rPr>
                <w:lang w:eastAsia="zh-CN"/>
              </w:rPr>
            </w:pPr>
            <w:r>
              <w:rPr>
                <w:lang w:eastAsia="zh-CN"/>
              </w:rPr>
              <w:t>Operator determines whether location information in RLF and CEF reports is subject to user consent.</w:t>
            </w:r>
          </w:p>
          <w:p w14:paraId="26931A90" w14:textId="77777777" w:rsidR="00C775C4" w:rsidRDefault="004F42E0">
            <w:pPr>
              <w:pStyle w:val="ListParagraph"/>
              <w:numPr>
                <w:ilvl w:val="0"/>
                <w:numId w:val="2"/>
              </w:numPr>
              <w:rPr>
                <w:lang w:eastAsia="zh-CN"/>
              </w:rPr>
            </w:pPr>
            <w:r>
              <w:rPr>
                <w:lang w:eastAsia="zh-CN"/>
              </w:rPr>
              <w:t>If yes, operator sets an OAM flag that states that user consent applies to location information contained in RLF and CEF report</w:t>
            </w:r>
          </w:p>
          <w:p w14:paraId="746ED07D" w14:textId="77777777" w:rsidR="00C775C4" w:rsidRDefault="004F42E0">
            <w:pPr>
              <w:pStyle w:val="ListParagraph"/>
              <w:numPr>
                <w:ilvl w:val="0"/>
                <w:numId w:val="2"/>
              </w:numPr>
              <w:rPr>
                <w:lang w:eastAsia="zh-CN"/>
              </w:rPr>
            </w:pPr>
            <w:r>
              <w:rPr>
                <w:lang w:eastAsia="zh-CN"/>
              </w:rPr>
              <w:lastRenderedPageBreak/>
              <w:t xml:space="preserve">For every UE, legacy user consent is received by the RAN. If the OAM flag has been set, the RAN deduces that user consent applies also to location information contained in RLF and CEF report, hence </w:t>
            </w:r>
          </w:p>
          <w:p w14:paraId="5A4144DE" w14:textId="77777777" w:rsidR="00C775C4" w:rsidRDefault="004F42E0">
            <w:pPr>
              <w:pStyle w:val="ListParagraph"/>
              <w:numPr>
                <w:ilvl w:val="1"/>
                <w:numId w:val="2"/>
              </w:numPr>
              <w:rPr>
                <w:lang w:eastAsia="zh-CN"/>
              </w:rPr>
            </w:pPr>
            <w:r>
              <w:rPr>
                <w:lang w:eastAsia="zh-CN"/>
              </w:rPr>
              <w:t>if the user gave positive consent, location information contained in RLF and CEF report is reported to the TCE</w:t>
            </w:r>
          </w:p>
          <w:p w14:paraId="14FBE36D" w14:textId="77777777" w:rsidR="00C775C4" w:rsidRDefault="004F42E0">
            <w:pPr>
              <w:pStyle w:val="ListParagraph"/>
              <w:numPr>
                <w:ilvl w:val="1"/>
                <w:numId w:val="2"/>
              </w:numPr>
              <w:rPr>
                <w:lang w:eastAsia="zh-CN"/>
              </w:rPr>
            </w:pPr>
            <w:r>
              <w:rPr>
                <w:lang w:eastAsia="zh-CN"/>
              </w:rPr>
              <w:t>if the user gave negative consent, location information contained in RLF and CEF report is not reported to the TCE</w:t>
            </w:r>
          </w:p>
          <w:p w14:paraId="1E5079DB" w14:textId="77777777" w:rsidR="00C775C4" w:rsidRDefault="004F42E0">
            <w:pPr>
              <w:rPr>
                <w:lang w:eastAsia="zh-CN"/>
              </w:rPr>
            </w:pPr>
            <w:r>
              <w:rPr>
                <w:lang w:eastAsia="zh-CN"/>
              </w:rPr>
              <w:t>Reply to Qualcomm, as it can be seen, there is no need to update on a per UE basis. The OAM configuration addresses the case for all UEs.</w:t>
            </w:r>
          </w:p>
          <w:p w14:paraId="105F9550" w14:textId="77777777" w:rsidR="00C775C4" w:rsidRDefault="004F42E0">
            <w:pPr>
              <w:rPr>
                <w:lang w:eastAsia="zh-CN"/>
              </w:rPr>
            </w:pPr>
            <w:r>
              <w:rPr>
                <w:lang w:eastAsia="zh-CN"/>
              </w:rPr>
              <w:t>Reply to DT “</w:t>
            </w:r>
            <w:r>
              <w:t>but do we have at the moment requirements on having configurable information subject to user consent?</w:t>
            </w:r>
            <w:r>
              <w:rPr>
                <w:lang w:eastAsia="zh-CN"/>
              </w:rPr>
              <w:t>”</w:t>
            </w:r>
          </w:p>
          <w:p w14:paraId="3DEFCDDE" w14:textId="77777777" w:rsidR="00C775C4" w:rsidRDefault="004F42E0">
            <w:pPr>
              <w:rPr>
                <w:lang w:eastAsia="zh-CN"/>
              </w:rPr>
            </w:pPr>
            <w:r>
              <w:rPr>
                <w:lang w:eastAsia="zh-CN"/>
              </w:rPr>
              <w:t xml:space="preserve">Information subject to user consent vary, depending on the law and regulation. SA3 cannot define a single set of information that is subject to user consent because such single set does not exist around the globe. </w:t>
            </w:r>
            <w:proofErr w:type="gramStart"/>
            <w:r>
              <w:rPr>
                <w:lang w:eastAsia="zh-CN"/>
              </w:rPr>
              <w:t>This is why</w:t>
            </w:r>
            <w:proofErr w:type="gramEnd"/>
            <w:r>
              <w:rPr>
                <w:lang w:eastAsia="zh-CN"/>
              </w:rPr>
              <w:t xml:space="preserve"> SA3 keeps on repeating that user consent depends on local regulations. </w:t>
            </w:r>
            <w:proofErr w:type="gramStart"/>
            <w:r>
              <w:rPr>
                <w:lang w:eastAsia="zh-CN"/>
              </w:rPr>
              <w:t>Therefore</w:t>
            </w:r>
            <w:proofErr w:type="gramEnd"/>
            <w:r>
              <w:rPr>
                <w:lang w:eastAsia="zh-CN"/>
              </w:rPr>
              <w:t xml:space="preserve"> the only option to flexibly adapt to local regulations is to make the information subject to user consent configurable. This is stated also in the LS from SA3 in </w:t>
            </w:r>
            <w:r>
              <w:t>R3-224220.</w:t>
            </w:r>
          </w:p>
        </w:tc>
      </w:tr>
      <w:tr w:rsidR="00C775C4" w14:paraId="62D894BC" w14:textId="77777777">
        <w:tc>
          <w:tcPr>
            <w:tcW w:w="1668" w:type="dxa"/>
            <w:shd w:val="clear" w:color="auto" w:fill="auto"/>
          </w:tcPr>
          <w:p w14:paraId="714EAF95" w14:textId="77777777" w:rsidR="00C775C4" w:rsidRDefault="004F42E0">
            <w:pPr>
              <w:rPr>
                <w:lang w:eastAsia="zh-CN"/>
              </w:rPr>
            </w:pPr>
            <w:r>
              <w:rPr>
                <w:lang w:eastAsia="zh-CN"/>
              </w:rPr>
              <w:lastRenderedPageBreak/>
              <w:t>Qualcomm2</w:t>
            </w:r>
          </w:p>
        </w:tc>
        <w:tc>
          <w:tcPr>
            <w:tcW w:w="7620" w:type="dxa"/>
            <w:shd w:val="clear" w:color="auto" w:fill="auto"/>
          </w:tcPr>
          <w:p w14:paraId="72B2C95B" w14:textId="77777777" w:rsidR="00C775C4" w:rsidRDefault="004F42E0">
            <w:pPr>
              <w:rPr>
                <w:lang w:eastAsia="zh-CN"/>
              </w:rPr>
            </w:pPr>
            <w:r>
              <w:rPr>
                <w:lang w:eastAsia="zh-CN"/>
              </w:rPr>
              <w:t>Thanks E/// for the explanation. @</w:t>
            </w:r>
            <w:r>
              <w:rPr>
                <w:b/>
                <w:bCs/>
                <w:lang w:eastAsia="zh-CN"/>
              </w:rPr>
              <w:t>Ericsson</w:t>
            </w:r>
            <w:r>
              <w:rPr>
                <w:lang w:eastAsia="zh-CN"/>
              </w:rPr>
              <w:t>: I understand from your text that this OAM flag simply provides flexibility to operators whether the user consent applies for location information in RLF and CEF report. Understand SA3 LS, but I don’t know if there is any local regulation which says location information can be retrieved even if there is no user consent; seems not a practical thing at least.</w:t>
            </w:r>
          </w:p>
          <w:p w14:paraId="4FE3AD5B" w14:textId="77777777" w:rsidR="00C775C4" w:rsidRDefault="004F42E0">
            <w:pPr>
              <w:rPr>
                <w:lang w:eastAsia="zh-CN"/>
              </w:rPr>
            </w:pPr>
            <w:r>
              <w:rPr>
                <w:lang w:eastAsia="zh-CN"/>
              </w:rPr>
              <w:t>Even if we agree on this OAM flag, we should still explicitly call out in stage-2 or stage-3 that MDT user consent applies to location information in RLF/CEF reports if the flag is set. Agree?</w:t>
            </w:r>
          </w:p>
          <w:p w14:paraId="6C7E5B4A" w14:textId="77777777" w:rsidR="00C775C4" w:rsidRDefault="004F42E0">
            <w:pPr>
              <w:rPr>
                <w:lang w:eastAsia="zh-CN"/>
              </w:rPr>
            </w:pPr>
            <w:r>
              <w:rPr>
                <w:lang w:eastAsia="zh-CN"/>
              </w:rPr>
              <w:t>Also, this OAM flag should be mandatory. In case the flag is absent (by error), gNB should assume there is no user consent and should not request location information from UE and should not forward location information to TCE. All of this should be mentioned in specs.</w:t>
            </w:r>
          </w:p>
          <w:p w14:paraId="468120EA" w14:textId="77777777" w:rsidR="00C775C4" w:rsidRDefault="004F42E0">
            <w:pPr>
              <w:rPr>
                <w:lang w:eastAsia="zh-CN"/>
              </w:rPr>
            </w:pPr>
            <w:r>
              <w:rPr>
                <w:lang w:eastAsia="zh-CN"/>
              </w:rPr>
              <w:t xml:space="preserve">Another thing is we are missing the fact the location information in RLF/CEF report over </w:t>
            </w:r>
            <w:proofErr w:type="spellStart"/>
            <w:r>
              <w:rPr>
                <w:lang w:eastAsia="zh-CN"/>
              </w:rPr>
              <w:t>Uu</w:t>
            </w:r>
            <w:proofErr w:type="spellEnd"/>
            <w:r>
              <w:rPr>
                <w:lang w:eastAsia="zh-CN"/>
              </w:rPr>
              <w:t xml:space="preserve"> will still be reported if network doesn’t do the right thing. Network should not request location information via </w:t>
            </w:r>
            <w:proofErr w:type="spellStart"/>
            <w:r>
              <w:rPr>
                <w:lang w:eastAsia="zh-CN"/>
              </w:rPr>
              <w:t>OtherConfig</w:t>
            </w:r>
            <w:proofErr w:type="spellEnd"/>
            <w:r>
              <w:rPr>
                <w:lang w:eastAsia="zh-CN"/>
              </w:rPr>
              <w:t xml:space="preserve"> for RLF/CEF reports if user consent is not available.</w:t>
            </w:r>
          </w:p>
        </w:tc>
      </w:tr>
      <w:tr w:rsidR="00C775C4" w14:paraId="4115D49B" w14:textId="77777777">
        <w:tc>
          <w:tcPr>
            <w:tcW w:w="1668" w:type="dxa"/>
            <w:shd w:val="clear" w:color="auto" w:fill="auto"/>
          </w:tcPr>
          <w:p w14:paraId="29CEE76F" w14:textId="77777777" w:rsidR="00C775C4" w:rsidRDefault="004F42E0">
            <w:pPr>
              <w:rPr>
                <w:lang w:eastAsia="zh-CN"/>
              </w:rPr>
            </w:pPr>
            <w:r>
              <w:rPr>
                <w:rFonts w:hint="eastAsia"/>
                <w:lang w:eastAsia="zh-CN"/>
              </w:rPr>
              <w:t>CMCC</w:t>
            </w:r>
          </w:p>
        </w:tc>
        <w:tc>
          <w:tcPr>
            <w:tcW w:w="7620" w:type="dxa"/>
            <w:shd w:val="clear" w:color="auto" w:fill="auto"/>
          </w:tcPr>
          <w:p w14:paraId="01915FD3" w14:textId="77777777" w:rsidR="00C775C4" w:rsidRDefault="004F42E0">
            <w:pPr>
              <w:rPr>
                <w:lang w:eastAsia="zh-CN"/>
              </w:rPr>
            </w:pPr>
            <w:r>
              <w:rPr>
                <w:rFonts w:hint="eastAsia"/>
                <w:lang w:eastAsia="zh-CN"/>
              </w:rPr>
              <w:t xml:space="preserve">If </w:t>
            </w:r>
            <w:r>
              <w:rPr>
                <w:lang w:eastAsia="zh-CN"/>
              </w:rPr>
              <w:t>companies</w:t>
            </w:r>
            <w:r>
              <w:rPr>
                <w:rFonts w:hint="eastAsia"/>
                <w:lang w:eastAsia="zh-CN"/>
              </w:rPr>
              <w:t xml:space="preserve"> still think option 1 does not satisfy the requirement, option 2 raise a good point to consider. The original LS also indicates operator has a flexibility according to the local regulation.</w:t>
            </w:r>
          </w:p>
        </w:tc>
      </w:tr>
      <w:tr w:rsidR="00C775C4" w14:paraId="4AF0C81D" w14:textId="77777777">
        <w:tc>
          <w:tcPr>
            <w:tcW w:w="1668" w:type="dxa"/>
            <w:shd w:val="clear" w:color="auto" w:fill="auto"/>
          </w:tcPr>
          <w:p w14:paraId="7D8A0590" w14:textId="77777777" w:rsidR="00C775C4" w:rsidRDefault="004F42E0">
            <w:pPr>
              <w:rPr>
                <w:lang w:val="en-US" w:eastAsia="zh-CN"/>
              </w:rPr>
            </w:pPr>
            <w:r>
              <w:rPr>
                <w:rFonts w:hint="eastAsia"/>
                <w:lang w:val="en-US" w:eastAsia="zh-CN"/>
              </w:rPr>
              <w:t>ZTE</w:t>
            </w:r>
          </w:p>
        </w:tc>
        <w:tc>
          <w:tcPr>
            <w:tcW w:w="7620" w:type="dxa"/>
            <w:shd w:val="clear" w:color="auto" w:fill="auto"/>
          </w:tcPr>
          <w:p w14:paraId="33046704" w14:textId="77777777" w:rsidR="00C775C4" w:rsidRDefault="004F42E0">
            <w:pPr>
              <w:rPr>
                <w:lang w:val="en-US" w:eastAsia="zh-CN"/>
              </w:rPr>
            </w:pPr>
            <w:r>
              <w:rPr>
                <w:rFonts w:hint="eastAsia"/>
                <w:lang w:val="en-US" w:eastAsia="zh-CN"/>
              </w:rPr>
              <w:t>Prefer this option, by OAM implementation.</w:t>
            </w:r>
          </w:p>
        </w:tc>
      </w:tr>
    </w:tbl>
    <w:p w14:paraId="34E256D3" w14:textId="247E490A" w:rsidR="00CD65A2" w:rsidRDefault="00CD65A2" w:rsidP="00CD65A2">
      <w:pPr>
        <w:rPr>
          <w:b/>
          <w:bCs/>
          <w:u w:val="single"/>
        </w:rPr>
      </w:pPr>
      <w:r>
        <w:rPr>
          <w:b/>
          <w:bCs/>
          <w:u w:val="single"/>
        </w:rPr>
        <w:t>Summary of Q2:</w:t>
      </w:r>
    </w:p>
    <w:p w14:paraId="1239DB34" w14:textId="514F4A29" w:rsidR="00C775C4" w:rsidRDefault="00CD65A2">
      <w:pPr>
        <w:rPr>
          <w:b/>
          <w:bCs/>
          <w:u w:val="single"/>
        </w:rPr>
      </w:pPr>
      <w:r w:rsidRPr="00BD211F">
        <w:rPr>
          <w:u w:val="single"/>
        </w:rPr>
        <w:t>Overview of the replies:</w:t>
      </w:r>
      <w:r w:rsidRPr="00BD211F">
        <w:rPr>
          <w:b/>
          <w:bCs/>
          <w:u w:val="single"/>
        </w:rPr>
        <w:t xml:space="preserve"> </w:t>
      </w:r>
      <w:r w:rsidR="007D2A2B">
        <w:t xml:space="preserve">After further clarifications, a strong majority seems to </w:t>
      </w:r>
      <w:r w:rsidR="007479F2">
        <w:t>support</w:t>
      </w:r>
      <w:r w:rsidR="007D2A2B">
        <w:t xml:space="preserve"> some variant of this proposal. Within this group of companies, some companies believe the option could not apply from Rel-17 but could </w:t>
      </w:r>
      <w:proofErr w:type="gramStart"/>
      <w:r w:rsidR="007D2A2B">
        <w:t>e.g.</w:t>
      </w:r>
      <w:proofErr w:type="gramEnd"/>
      <w:r w:rsidR="007D2A2B">
        <w:t xml:space="preserve"> be studied by SA3 in Rel-18, and it is also commented that SA1 should be involved.</w:t>
      </w:r>
      <w:r w:rsidR="007479F2">
        <w:t xml:space="preserve"> Different views are expressed on the interface applicable (</w:t>
      </w:r>
      <w:proofErr w:type="spellStart"/>
      <w:r w:rsidR="007479F2">
        <w:t>Uu</w:t>
      </w:r>
      <w:proofErr w:type="spellEnd"/>
      <w:r w:rsidR="007479F2">
        <w:t xml:space="preserve"> or reporting from RAN to TCE).</w:t>
      </w:r>
    </w:p>
    <w:p w14:paraId="2AB832F3" w14:textId="77777777" w:rsidR="007D2A2B" w:rsidRPr="00C81103" w:rsidRDefault="007D2A2B">
      <w:pPr>
        <w:rPr>
          <w:b/>
          <w:bCs/>
          <w:u w:val="single"/>
        </w:rPr>
      </w:pPr>
    </w:p>
    <w:p w14:paraId="509B0520" w14:textId="77777777" w:rsidR="00C775C4" w:rsidRDefault="004F42E0">
      <w:pPr>
        <w:rPr>
          <w:b/>
          <w:bCs/>
        </w:rPr>
      </w:pPr>
      <w:r>
        <w:rPr>
          <w:b/>
          <w:bCs/>
        </w:rPr>
        <w:t>Q3: Please provide your view on option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C775C4" w14:paraId="0D557823" w14:textId="77777777">
        <w:tc>
          <w:tcPr>
            <w:tcW w:w="1668" w:type="dxa"/>
            <w:shd w:val="clear" w:color="auto" w:fill="auto"/>
          </w:tcPr>
          <w:p w14:paraId="66206F0B" w14:textId="77777777" w:rsidR="00C775C4" w:rsidRDefault="004F42E0">
            <w:r>
              <w:t>Company</w:t>
            </w:r>
          </w:p>
        </w:tc>
        <w:tc>
          <w:tcPr>
            <w:tcW w:w="7620" w:type="dxa"/>
            <w:shd w:val="clear" w:color="auto" w:fill="auto"/>
          </w:tcPr>
          <w:p w14:paraId="0550F1B6" w14:textId="77777777" w:rsidR="00C775C4" w:rsidRDefault="004F42E0">
            <w:r>
              <w:t>Comment</w:t>
            </w:r>
          </w:p>
        </w:tc>
      </w:tr>
      <w:tr w:rsidR="00C775C4" w14:paraId="7CBF256E" w14:textId="77777777">
        <w:tc>
          <w:tcPr>
            <w:tcW w:w="1668" w:type="dxa"/>
            <w:shd w:val="clear" w:color="auto" w:fill="auto"/>
          </w:tcPr>
          <w:p w14:paraId="22EE7FDA" w14:textId="77777777" w:rsidR="00C775C4" w:rsidRDefault="004F42E0">
            <w:r>
              <w:t>Nokia</w:t>
            </w:r>
          </w:p>
        </w:tc>
        <w:tc>
          <w:tcPr>
            <w:tcW w:w="7620" w:type="dxa"/>
            <w:shd w:val="clear" w:color="auto" w:fill="auto"/>
          </w:tcPr>
          <w:p w14:paraId="32AB9D52" w14:textId="77777777" w:rsidR="00C775C4" w:rsidRDefault="004F42E0">
            <w:r>
              <w:t>As per our view expressed under Q1, we don’t believe that RAN3 should proceed with specification changes along the lines suggested by this option.</w:t>
            </w:r>
          </w:p>
        </w:tc>
      </w:tr>
      <w:tr w:rsidR="00C775C4" w14:paraId="38E18F05" w14:textId="77777777">
        <w:tc>
          <w:tcPr>
            <w:tcW w:w="1668" w:type="dxa"/>
            <w:shd w:val="clear" w:color="auto" w:fill="auto"/>
          </w:tcPr>
          <w:p w14:paraId="4C0BFA93" w14:textId="77777777" w:rsidR="00C775C4" w:rsidRDefault="004F42E0">
            <w:r>
              <w:rPr>
                <w:rFonts w:hint="eastAsia"/>
              </w:rPr>
              <w:lastRenderedPageBreak/>
              <w:t>Huawei</w:t>
            </w:r>
          </w:p>
        </w:tc>
        <w:tc>
          <w:tcPr>
            <w:tcW w:w="7620" w:type="dxa"/>
            <w:shd w:val="clear" w:color="auto" w:fill="auto"/>
          </w:tcPr>
          <w:p w14:paraId="0298BEEF" w14:textId="77777777" w:rsidR="00C775C4" w:rsidRDefault="004F42E0">
            <w:r>
              <w:t>S</w:t>
            </w:r>
            <w:r>
              <w:rPr>
                <w:rFonts w:hint="eastAsia"/>
              </w:rPr>
              <w:t xml:space="preserve">ee </w:t>
            </w:r>
            <w:r>
              <w:t>comments above. If RAN3 concludes that no issue exists, it seems no need LS to SA3 for further evaluation on any new user consent mechanism.</w:t>
            </w:r>
          </w:p>
        </w:tc>
      </w:tr>
      <w:tr w:rsidR="00C775C4" w14:paraId="3EC150D5" w14:textId="77777777">
        <w:tc>
          <w:tcPr>
            <w:tcW w:w="1668" w:type="dxa"/>
            <w:shd w:val="clear" w:color="auto" w:fill="auto"/>
          </w:tcPr>
          <w:p w14:paraId="40389580" w14:textId="77777777" w:rsidR="00C775C4" w:rsidRDefault="004F42E0">
            <w:r>
              <w:t>Ericsson</w:t>
            </w:r>
          </w:p>
        </w:tc>
        <w:tc>
          <w:tcPr>
            <w:tcW w:w="7620" w:type="dxa"/>
            <w:shd w:val="clear" w:color="auto" w:fill="auto"/>
          </w:tcPr>
          <w:p w14:paraId="55CC2272" w14:textId="77777777" w:rsidR="00C775C4" w:rsidRDefault="004F42E0">
            <w:r>
              <w:t>We would like to point out that the original LS from SA3 stats the following:</w:t>
            </w:r>
          </w:p>
          <w:p w14:paraId="13524C2E" w14:textId="77777777" w:rsidR="00C775C4" w:rsidRDefault="004F42E0">
            <w:r>
              <w:t xml:space="preserve">“SA3 understands that regulations for collection of location information could vary around the globe. </w:t>
            </w:r>
            <w:r>
              <w:rPr>
                <w:highlight w:val="yellow"/>
              </w:rPr>
              <w:t xml:space="preserve">In some regulations, user consent may not be required </w:t>
            </w:r>
            <w:proofErr w:type="gramStart"/>
            <w:r>
              <w:rPr>
                <w:highlight w:val="yellow"/>
              </w:rPr>
              <w:t>on the basis of</w:t>
            </w:r>
            <w:proofErr w:type="gramEnd"/>
            <w:r>
              <w:rPr>
                <w:highlight w:val="yellow"/>
              </w:rPr>
              <w:t xml:space="preserve"> other legal grounds. In other regulations, user consent may be required regardless.</w:t>
            </w:r>
          </w:p>
          <w:p w14:paraId="57412F3E" w14:textId="77777777" w:rsidR="00C775C4" w:rsidRDefault="004F42E0">
            <w:r>
              <w:t xml:space="preserve">Therefore, SA3 opines that RAN2, RAN3, and SA5 </w:t>
            </w:r>
            <w:r>
              <w:rPr>
                <w:highlight w:val="yellow"/>
              </w:rPr>
              <w:t xml:space="preserve">do not need to make user consent mandatory for RLF/CEF cases but should provide a possibility so that the operator has </w:t>
            </w:r>
            <w:r>
              <w:rPr>
                <w:b/>
                <w:bCs/>
                <w:highlight w:val="yellow"/>
              </w:rPr>
              <w:t>an option</w:t>
            </w:r>
            <w:r>
              <w:rPr>
                <w:highlight w:val="yellow"/>
              </w:rPr>
              <w:t xml:space="preserve"> to collect and handle user consent</w:t>
            </w:r>
            <w:r>
              <w:t>. SA3 also believes it is not required to update previous releases (R15 and prior).”</w:t>
            </w:r>
          </w:p>
          <w:p w14:paraId="7ABE2FA4" w14:textId="77777777" w:rsidR="00C775C4" w:rsidRDefault="004F42E0">
            <w:r>
              <w:t xml:space="preserve">Therefore, SA3 suggests that an operator should have the “Option” to collect location information from RLF and CEF reports. </w:t>
            </w:r>
          </w:p>
          <w:p w14:paraId="6D36A9C6" w14:textId="77777777" w:rsidR="00C775C4" w:rsidRDefault="004F42E0">
            <w:r>
              <w:t>Option 3 comprises of two solutions:</w:t>
            </w:r>
          </w:p>
          <w:p w14:paraId="651C133A" w14:textId="77777777" w:rsidR="00C775C4" w:rsidRDefault="004F42E0">
            <w:r>
              <w:t>Option 3, Solution 1: extend current user consent to include location information for RLF and CEF reports. This solution does not give the operator the option to collect or not collect the location information in the RLF and CEF reports. This solution forces the operator to make all the information collected via MDT, including location information in RLF and CEF reports, subject to user consent. Namely, if user consent is not granted, nothing can be collected, and if it is granted, everything can be collected.  This is an “all or nothing” type of option, which is clearly over restrictive and not feasible.</w:t>
            </w:r>
          </w:p>
          <w:p w14:paraId="011A937B" w14:textId="77777777" w:rsidR="00C775C4" w:rsidRDefault="004F42E0">
            <w:r>
              <w:t xml:space="preserve">Option 3, Solution 2: define a new user consent PLMN List for location information in RLF and CEF reports. This option provides the option to make only location information in RLF and CEF reports subject to user consent, but it is not scalable. If we follow this approach, we </w:t>
            </w:r>
            <w:proofErr w:type="gramStart"/>
            <w:r>
              <w:t>would</w:t>
            </w:r>
            <w:proofErr w:type="gramEnd"/>
            <w:r>
              <w:t xml:space="preserve"> have to define a new user consent PLMN List for every new sensitive piece of information. This is also not feasible.</w:t>
            </w:r>
          </w:p>
          <w:p w14:paraId="73988F60" w14:textId="77777777" w:rsidR="00C775C4" w:rsidRDefault="00C775C4"/>
        </w:tc>
      </w:tr>
      <w:tr w:rsidR="00C775C4" w14:paraId="5B73B8D9" w14:textId="77777777">
        <w:tc>
          <w:tcPr>
            <w:tcW w:w="1668" w:type="dxa"/>
            <w:shd w:val="clear" w:color="auto" w:fill="auto"/>
          </w:tcPr>
          <w:p w14:paraId="1946E39B" w14:textId="77777777" w:rsidR="00C775C4" w:rsidRDefault="004F42E0">
            <w:r>
              <w:t>Apple</w:t>
            </w:r>
          </w:p>
        </w:tc>
        <w:tc>
          <w:tcPr>
            <w:tcW w:w="7620" w:type="dxa"/>
            <w:shd w:val="clear" w:color="auto" w:fill="auto"/>
          </w:tcPr>
          <w:p w14:paraId="4F967E2F" w14:textId="77777777" w:rsidR="00C775C4" w:rsidRDefault="004F42E0">
            <w:r>
              <w:t>This is obviously acceptable to us, but it seems there are still objections. Considering the situation, we see no other way but to simply let SA3 know that there is no consensus in RAN3 on this issue.</w:t>
            </w:r>
          </w:p>
        </w:tc>
      </w:tr>
      <w:tr w:rsidR="00C775C4" w14:paraId="3946A7E3" w14:textId="77777777">
        <w:tc>
          <w:tcPr>
            <w:tcW w:w="1668" w:type="dxa"/>
            <w:shd w:val="clear" w:color="auto" w:fill="auto"/>
          </w:tcPr>
          <w:p w14:paraId="01874CA1" w14:textId="77777777" w:rsidR="00C775C4" w:rsidRDefault="004F42E0">
            <w:r>
              <w:t>Deutsche Telekom</w:t>
            </w:r>
          </w:p>
        </w:tc>
        <w:tc>
          <w:tcPr>
            <w:tcW w:w="7620" w:type="dxa"/>
            <w:shd w:val="clear" w:color="auto" w:fill="auto"/>
          </w:tcPr>
          <w:p w14:paraId="3E937044" w14:textId="77777777" w:rsidR="00C775C4" w:rsidRDefault="004F42E0">
            <w:r>
              <w:t>We don’t see that as an appropriate solution without further clarification with SA3 and as stated above with also SA1.</w:t>
            </w:r>
          </w:p>
        </w:tc>
      </w:tr>
      <w:tr w:rsidR="00C775C4" w14:paraId="54B75BA8" w14:textId="77777777">
        <w:tc>
          <w:tcPr>
            <w:tcW w:w="1668" w:type="dxa"/>
            <w:shd w:val="clear" w:color="auto" w:fill="auto"/>
          </w:tcPr>
          <w:p w14:paraId="66A383D5" w14:textId="77777777" w:rsidR="00C775C4" w:rsidRDefault="004F42E0">
            <w:r>
              <w:t>Qualcomm</w:t>
            </w:r>
          </w:p>
        </w:tc>
        <w:tc>
          <w:tcPr>
            <w:tcW w:w="7620" w:type="dxa"/>
            <w:shd w:val="clear" w:color="auto" w:fill="auto"/>
          </w:tcPr>
          <w:p w14:paraId="2A057073" w14:textId="77777777" w:rsidR="00C775C4" w:rsidRDefault="004F42E0">
            <w:pPr>
              <w:pStyle w:val="ListParagraph"/>
              <w:ind w:left="0"/>
            </w:pPr>
            <w:r>
              <w:t xml:space="preserve">As E/// mentioned, we should provide an </w:t>
            </w:r>
            <w:r>
              <w:rPr>
                <w:b/>
                <w:bCs/>
              </w:rPr>
              <w:t>option</w:t>
            </w:r>
            <w:r>
              <w:t xml:space="preserve"> to enable user consent for location information. Otherwise SA3 requirements are simply not met!</w:t>
            </w:r>
          </w:p>
          <w:p w14:paraId="2DB7BF19" w14:textId="77777777" w:rsidR="00C775C4" w:rsidRDefault="00C775C4">
            <w:pPr>
              <w:pStyle w:val="ListParagraph"/>
              <w:ind w:left="0"/>
            </w:pPr>
          </w:p>
          <w:p w14:paraId="7D2AFB51" w14:textId="77777777" w:rsidR="00C775C4" w:rsidRDefault="004F42E0">
            <w:pPr>
              <w:pStyle w:val="ListParagraph"/>
              <w:ind w:left="0"/>
            </w:pPr>
            <w:r>
              <w:t>We are OK with both solutions in Option 3:</w:t>
            </w:r>
          </w:p>
          <w:p w14:paraId="74F85F70" w14:textId="77777777" w:rsidR="00C775C4" w:rsidRDefault="00C775C4">
            <w:pPr>
              <w:pStyle w:val="ListParagraph"/>
              <w:ind w:left="0"/>
            </w:pPr>
          </w:p>
          <w:p w14:paraId="77724631" w14:textId="77777777" w:rsidR="00C775C4" w:rsidRDefault="004F42E0">
            <w:pPr>
              <w:pStyle w:val="ListParagraph"/>
              <w:numPr>
                <w:ilvl w:val="0"/>
                <w:numId w:val="3"/>
              </w:numPr>
            </w:pPr>
            <w:r>
              <w:t>Option 3, Solution 1: extend current user consent to include location information for RLF and CEF reports</w:t>
            </w:r>
          </w:p>
          <w:p w14:paraId="75FBC567" w14:textId="77777777" w:rsidR="00C775C4" w:rsidRDefault="00C775C4">
            <w:pPr>
              <w:pStyle w:val="ListParagraph"/>
              <w:ind w:left="0"/>
            </w:pPr>
          </w:p>
          <w:p w14:paraId="56D0E725" w14:textId="77777777" w:rsidR="00C775C4" w:rsidRDefault="004F42E0">
            <w:pPr>
              <w:pStyle w:val="ListParagraph"/>
              <w:numPr>
                <w:ilvl w:val="0"/>
                <w:numId w:val="3"/>
              </w:numPr>
            </w:pPr>
            <w:r>
              <w:t>Option 3, Solution 2: define a new user consent PLMN List for location information in RLF and CEF reports</w:t>
            </w:r>
          </w:p>
          <w:p w14:paraId="2740517B" w14:textId="77777777" w:rsidR="00C775C4" w:rsidRDefault="00C775C4">
            <w:pPr>
              <w:pStyle w:val="ListParagraph"/>
              <w:ind w:left="0"/>
            </w:pPr>
          </w:p>
          <w:p w14:paraId="6982A9C2" w14:textId="77777777" w:rsidR="00C775C4" w:rsidRDefault="004F42E0">
            <w:r>
              <w:rPr>
                <w:b/>
                <w:bCs/>
              </w:rPr>
              <w:t>@E///:</w:t>
            </w:r>
            <w:r>
              <w:t xml:space="preserve"> If solution 1 is deemed restrictive, solution 2 can the best way forward. Just saying it won’t be scalable for future sensitive information is not satisfying SA3 requirements. Considering Option 2 is not clear, we should </w:t>
            </w:r>
            <w:proofErr w:type="gramStart"/>
            <w:r>
              <w:t>definitely consider</w:t>
            </w:r>
            <w:proofErr w:type="gramEnd"/>
            <w:r>
              <w:t xml:space="preserve"> either the lesser invasive Solution 1 or new user consent in the form of Solution 2.</w:t>
            </w:r>
          </w:p>
        </w:tc>
      </w:tr>
      <w:tr w:rsidR="00C775C4" w14:paraId="090961C0" w14:textId="77777777">
        <w:tc>
          <w:tcPr>
            <w:tcW w:w="1668" w:type="dxa"/>
            <w:shd w:val="clear" w:color="auto" w:fill="auto"/>
          </w:tcPr>
          <w:p w14:paraId="19441041" w14:textId="77777777" w:rsidR="00C775C4" w:rsidRDefault="004F42E0">
            <w:r>
              <w:lastRenderedPageBreak/>
              <w:t>BT</w:t>
            </w:r>
          </w:p>
        </w:tc>
        <w:tc>
          <w:tcPr>
            <w:tcW w:w="7620" w:type="dxa"/>
            <w:shd w:val="clear" w:color="auto" w:fill="auto"/>
          </w:tcPr>
          <w:p w14:paraId="63304762" w14:textId="77777777" w:rsidR="00C775C4" w:rsidRDefault="004F42E0">
            <w:pPr>
              <w:pStyle w:val="ListParagraph"/>
              <w:ind w:left="0"/>
            </w:pPr>
            <w:r>
              <w:t>Our preferred solution is option 3 Solution 1 (including CEF/RLF into the existing MDT user consent framework), we acknowledge Ericsson’s point this would be an “all or nothing” type option in line with the existing MDT consent framework. If further granularity of the reports which are subject to consent is required this could be studied in SA3 under a new future framework.</w:t>
            </w:r>
          </w:p>
          <w:p w14:paraId="4E2F562A" w14:textId="77777777" w:rsidR="00C775C4" w:rsidRDefault="004F42E0">
            <w:pPr>
              <w:pStyle w:val="ListParagraph"/>
              <w:ind w:left="0"/>
            </w:pPr>
            <w:r>
              <w:t>We do not support Option 3, Solution 2.</w:t>
            </w:r>
          </w:p>
        </w:tc>
      </w:tr>
      <w:tr w:rsidR="00C775C4" w14:paraId="77050F70" w14:textId="77777777">
        <w:tc>
          <w:tcPr>
            <w:tcW w:w="1668" w:type="dxa"/>
            <w:shd w:val="clear" w:color="auto" w:fill="auto"/>
          </w:tcPr>
          <w:p w14:paraId="47F7CA15" w14:textId="77777777" w:rsidR="00C775C4" w:rsidRDefault="004F42E0">
            <w:pPr>
              <w:rPr>
                <w:lang w:eastAsia="zh-CN"/>
              </w:rPr>
            </w:pPr>
            <w:r>
              <w:rPr>
                <w:rFonts w:hint="eastAsia"/>
                <w:lang w:eastAsia="zh-CN"/>
              </w:rPr>
              <w:t>S</w:t>
            </w:r>
            <w:r>
              <w:rPr>
                <w:lang w:eastAsia="zh-CN"/>
              </w:rPr>
              <w:t>amsung</w:t>
            </w:r>
          </w:p>
        </w:tc>
        <w:tc>
          <w:tcPr>
            <w:tcW w:w="7620" w:type="dxa"/>
            <w:shd w:val="clear" w:color="auto" w:fill="auto"/>
          </w:tcPr>
          <w:p w14:paraId="08105E79" w14:textId="77777777" w:rsidR="00C775C4" w:rsidRDefault="004F42E0">
            <w:pPr>
              <w:pStyle w:val="ListParagraph"/>
              <w:ind w:left="0"/>
              <w:rPr>
                <w:lang w:eastAsia="zh-CN"/>
              </w:rPr>
            </w:pPr>
            <w:r>
              <w:rPr>
                <w:rFonts w:hint="eastAsia"/>
                <w:lang w:eastAsia="zh-CN"/>
              </w:rPr>
              <w:t>W</w:t>
            </w:r>
            <w:r>
              <w:rPr>
                <w:lang w:eastAsia="zh-CN"/>
              </w:rPr>
              <w:t>e are ok to solution 1. Not OK for solution 2.</w:t>
            </w:r>
          </w:p>
        </w:tc>
      </w:tr>
      <w:tr w:rsidR="00C775C4" w14:paraId="6ECC62C6" w14:textId="77777777">
        <w:tc>
          <w:tcPr>
            <w:tcW w:w="1668" w:type="dxa"/>
            <w:shd w:val="clear" w:color="auto" w:fill="auto"/>
          </w:tcPr>
          <w:p w14:paraId="182E2078" w14:textId="77777777" w:rsidR="00C775C4" w:rsidRDefault="004F42E0">
            <w:pPr>
              <w:rPr>
                <w:lang w:eastAsia="zh-CN"/>
              </w:rPr>
            </w:pPr>
            <w:r>
              <w:rPr>
                <w:rFonts w:hint="eastAsia"/>
                <w:lang w:eastAsia="zh-CN"/>
              </w:rPr>
              <w:t>CMCC</w:t>
            </w:r>
          </w:p>
        </w:tc>
        <w:tc>
          <w:tcPr>
            <w:tcW w:w="7620" w:type="dxa"/>
            <w:shd w:val="clear" w:color="auto" w:fill="auto"/>
          </w:tcPr>
          <w:p w14:paraId="3CA05AE9" w14:textId="77777777" w:rsidR="00C775C4" w:rsidRDefault="004F42E0">
            <w:pPr>
              <w:pStyle w:val="ListParagraph"/>
              <w:ind w:left="0"/>
              <w:rPr>
                <w:rFonts w:eastAsiaTheme="minorEastAsia"/>
                <w:lang w:eastAsia="zh-CN"/>
              </w:rPr>
            </w:pPr>
            <w:r>
              <w:rPr>
                <w:rFonts w:eastAsiaTheme="minorEastAsia" w:hint="eastAsia"/>
                <w:lang w:eastAsia="zh-CN"/>
              </w:rPr>
              <w:t xml:space="preserve">See comments above, we </w:t>
            </w:r>
            <w:r>
              <w:rPr>
                <w:rFonts w:eastAsiaTheme="minorEastAsia"/>
                <w:lang w:eastAsia="zh-CN"/>
              </w:rPr>
              <w:t>don’t</w:t>
            </w:r>
            <w:r>
              <w:rPr>
                <w:rFonts w:eastAsiaTheme="minorEastAsia" w:hint="eastAsia"/>
                <w:lang w:eastAsia="zh-CN"/>
              </w:rPr>
              <w:t xml:space="preserve"> think specification changes are needed. T</w:t>
            </w:r>
            <w:r>
              <w:rPr>
                <w:rFonts w:eastAsiaTheme="minorEastAsia"/>
                <w:lang w:eastAsia="zh-CN"/>
              </w:rPr>
              <w:t>h</w:t>
            </w:r>
            <w:r>
              <w:rPr>
                <w:rFonts w:eastAsiaTheme="minorEastAsia" w:hint="eastAsia"/>
                <w:lang w:eastAsia="zh-CN"/>
              </w:rPr>
              <w:t>e LS is also not needed</w:t>
            </w:r>
          </w:p>
        </w:tc>
      </w:tr>
      <w:tr w:rsidR="00C775C4" w14:paraId="518CE690" w14:textId="77777777">
        <w:tc>
          <w:tcPr>
            <w:tcW w:w="1668" w:type="dxa"/>
            <w:shd w:val="clear" w:color="auto" w:fill="auto"/>
          </w:tcPr>
          <w:p w14:paraId="31F646BC" w14:textId="77777777" w:rsidR="00C775C4" w:rsidRDefault="004F42E0">
            <w:pPr>
              <w:rPr>
                <w:lang w:val="en-US" w:eastAsia="zh-CN"/>
              </w:rPr>
            </w:pPr>
            <w:r>
              <w:rPr>
                <w:rFonts w:hint="eastAsia"/>
                <w:lang w:val="en-US" w:eastAsia="zh-CN"/>
              </w:rPr>
              <w:t>ZTE</w:t>
            </w:r>
          </w:p>
        </w:tc>
        <w:tc>
          <w:tcPr>
            <w:tcW w:w="7620" w:type="dxa"/>
            <w:shd w:val="clear" w:color="auto" w:fill="auto"/>
          </w:tcPr>
          <w:p w14:paraId="50045710" w14:textId="77777777" w:rsidR="00C775C4" w:rsidRDefault="004F42E0">
            <w:pPr>
              <w:pStyle w:val="ListParagraph"/>
              <w:ind w:left="0"/>
              <w:rPr>
                <w:rFonts w:eastAsiaTheme="minorEastAsia"/>
                <w:lang w:val="en-US" w:eastAsia="zh-CN"/>
              </w:rPr>
            </w:pPr>
            <w:r>
              <w:rPr>
                <w:rFonts w:eastAsiaTheme="minorEastAsia" w:hint="eastAsia"/>
                <w:lang w:val="en-US" w:eastAsia="zh-CN"/>
              </w:rPr>
              <w:t xml:space="preserve">Not prefer, this solution </w:t>
            </w:r>
            <w:proofErr w:type="gramStart"/>
            <w:r>
              <w:rPr>
                <w:rFonts w:eastAsiaTheme="minorEastAsia" w:hint="eastAsia"/>
                <w:lang w:val="en-US" w:eastAsia="zh-CN"/>
              </w:rPr>
              <w:t>actually extend</w:t>
            </w:r>
            <w:proofErr w:type="gramEnd"/>
            <w:r>
              <w:rPr>
                <w:rFonts w:eastAsiaTheme="minorEastAsia" w:hint="eastAsia"/>
                <w:lang w:val="en-US" w:eastAsia="zh-CN"/>
              </w:rPr>
              <w:t xml:space="preserve"> the scope of MDT user consent. </w:t>
            </w:r>
          </w:p>
        </w:tc>
      </w:tr>
    </w:tbl>
    <w:p w14:paraId="3C5A0280" w14:textId="29B0C1A9" w:rsidR="00CD65A2" w:rsidRDefault="00CD65A2" w:rsidP="00CD65A2">
      <w:pPr>
        <w:rPr>
          <w:b/>
          <w:bCs/>
          <w:u w:val="single"/>
        </w:rPr>
      </w:pPr>
      <w:r>
        <w:rPr>
          <w:b/>
          <w:bCs/>
          <w:u w:val="single"/>
        </w:rPr>
        <w:t>Summary of Q3:</w:t>
      </w:r>
    </w:p>
    <w:p w14:paraId="641EAB8F" w14:textId="4019B10A" w:rsidR="00CD65A2" w:rsidRDefault="00CD65A2" w:rsidP="00CD65A2">
      <w:r w:rsidRPr="00BD211F">
        <w:rPr>
          <w:u w:val="single"/>
        </w:rPr>
        <w:t>Overview of the replies:</w:t>
      </w:r>
      <w:r w:rsidRPr="00BD211F">
        <w:rPr>
          <w:b/>
          <w:bCs/>
          <w:u w:val="single"/>
        </w:rPr>
        <w:t xml:space="preserve"> </w:t>
      </w:r>
      <w:r>
        <w:t>Positive: 5 companies; Not sure: 0 companies; Negative: 5 companies</w:t>
      </w:r>
    </w:p>
    <w:p w14:paraId="07A87C99" w14:textId="77777777" w:rsidR="00CD65A2" w:rsidRDefault="00CD65A2" w:rsidP="00CD65A2">
      <w:r>
        <w:t>Comment from the moderator: The option is not agreeable as such.</w:t>
      </w:r>
    </w:p>
    <w:p w14:paraId="257615C7" w14:textId="77777777" w:rsidR="00C775C4" w:rsidRDefault="00C775C4"/>
    <w:p w14:paraId="3E2E499C" w14:textId="77777777" w:rsidR="00C775C4" w:rsidRDefault="004F42E0">
      <w:pPr>
        <w:rPr>
          <w:b/>
          <w:bCs/>
        </w:rPr>
      </w:pPr>
      <w:r>
        <w:rPr>
          <w:b/>
          <w:bCs/>
        </w:rPr>
        <w:t>Q4: Could some combination of the options above constitute a good way forward: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C775C4" w14:paraId="495A93BC" w14:textId="77777777">
        <w:tc>
          <w:tcPr>
            <w:tcW w:w="1668" w:type="dxa"/>
            <w:shd w:val="clear" w:color="auto" w:fill="auto"/>
          </w:tcPr>
          <w:p w14:paraId="10CAC91B" w14:textId="77777777" w:rsidR="00C775C4" w:rsidRDefault="004F42E0">
            <w:r>
              <w:t>Company</w:t>
            </w:r>
          </w:p>
        </w:tc>
        <w:tc>
          <w:tcPr>
            <w:tcW w:w="7620" w:type="dxa"/>
            <w:shd w:val="clear" w:color="auto" w:fill="auto"/>
          </w:tcPr>
          <w:p w14:paraId="4E91C5B5" w14:textId="77777777" w:rsidR="00C775C4" w:rsidRDefault="004F42E0">
            <w:r>
              <w:t>Comment</w:t>
            </w:r>
          </w:p>
        </w:tc>
      </w:tr>
      <w:tr w:rsidR="00C775C4" w14:paraId="6EDEE94E" w14:textId="77777777">
        <w:tc>
          <w:tcPr>
            <w:tcW w:w="1668" w:type="dxa"/>
            <w:shd w:val="clear" w:color="auto" w:fill="auto"/>
          </w:tcPr>
          <w:p w14:paraId="32E26B1D" w14:textId="77777777" w:rsidR="00C775C4" w:rsidRDefault="004F42E0">
            <w:r>
              <w:t>Nokia</w:t>
            </w:r>
          </w:p>
        </w:tc>
        <w:tc>
          <w:tcPr>
            <w:tcW w:w="7620" w:type="dxa"/>
            <w:shd w:val="clear" w:color="auto" w:fill="auto"/>
          </w:tcPr>
          <w:p w14:paraId="33340CE1" w14:textId="77777777" w:rsidR="00C775C4" w:rsidRDefault="004F42E0">
            <w:r>
              <w:t>We see a benefit to reply to SA3 by combining option 1 and option 2.</w:t>
            </w:r>
          </w:p>
        </w:tc>
      </w:tr>
      <w:tr w:rsidR="00C775C4" w14:paraId="2F2483E1" w14:textId="77777777">
        <w:tc>
          <w:tcPr>
            <w:tcW w:w="1668" w:type="dxa"/>
            <w:shd w:val="clear" w:color="auto" w:fill="auto"/>
          </w:tcPr>
          <w:p w14:paraId="78A93FCE" w14:textId="77777777" w:rsidR="00C775C4" w:rsidRDefault="004F42E0">
            <w:r>
              <w:rPr>
                <w:rFonts w:hint="eastAsia"/>
              </w:rPr>
              <w:t>Huawei</w:t>
            </w:r>
          </w:p>
        </w:tc>
        <w:tc>
          <w:tcPr>
            <w:tcW w:w="7620" w:type="dxa"/>
            <w:shd w:val="clear" w:color="auto" w:fill="auto"/>
          </w:tcPr>
          <w:p w14:paraId="1001C663" w14:textId="77777777" w:rsidR="00C775C4" w:rsidRDefault="004F42E0">
            <w:r>
              <w:t>W</w:t>
            </w:r>
            <w:r>
              <w:rPr>
                <w:rFonts w:hint="eastAsia"/>
              </w:rPr>
              <w:t xml:space="preserve">e </w:t>
            </w:r>
            <w:r>
              <w:t>don’t see any combination better than option 3 only.</w:t>
            </w:r>
          </w:p>
        </w:tc>
      </w:tr>
      <w:tr w:rsidR="00C775C4" w14:paraId="20D2DA78" w14:textId="77777777">
        <w:tc>
          <w:tcPr>
            <w:tcW w:w="1668" w:type="dxa"/>
            <w:shd w:val="clear" w:color="auto" w:fill="auto"/>
          </w:tcPr>
          <w:p w14:paraId="26E42642" w14:textId="77777777" w:rsidR="00C775C4" w:rsidRDefault="004F42E0">
            <w:r>
              <w:t>Ericsson</w:t>
            </w:r>
          </w:p>
        </w:tc>
        <w:tc>
          <w:tcPr>
            <w:tcW w:w="7620" w:type="dxa"/>
            <w:shd w:val="clear" w:color="auto" w:fill="auto"/>
          </w:tcPr>
          <w:p w14:paraId="199C6B73" w14:textId="77777777" w:rsidR="00C775C4" w:rsidRDefault="004F42E0">
            <w:r>
              <w:t xml:space="preserve">We agree that Option 1 and Option 2 could be combined in a reply to SA3. </w:t>
            </w:r>
          </w:p>
        </w:tc>
      </w:tr>
      <w:tr w:rsidR="00C775C4" w14:paraId="50981BEB" w14:textId="77777777">
        <w:tc>
          <w:tcPr>
            <w:tcW w:w="1668" w:type="dxa"/>
            <w:shd w:val="clear" w:color="auto" w:fill="auto"/>
          </w:tcPr>
          <w:p w14:paraId="5413F034" w14:textId="77777777" w:rsidR="00C775C4" w:rsidRDefault="004F42E0">
            <w:r>
              <w:t>Deutsche Telekom</w:t>
            </w:r>
          </w:p>
        </w:tc>
        <w:tc>
          <w:tcPr>
            <w:tcW w:w="7620" w:type="dxa"/>
            <w:shd w:val="clear" w:color="auto" w:fill="auto"/>
          </w:tcPr>
          <w:p w14:paraId="1BF2E717" w14:textId="77777777" w:rsidR="00C775C4" w:rsidRDefault="004F42E0">
            <w:r>
              <w:t xml:space="preserve">We would be fine combining Option 1 and 2 in a LS to SA3 </w:t>
            </w:r>
            <w:proofErr w:type="gramStart"/>
            <w:r>
              <w:t>and also</w:t>
            </w:r>
            <w:proofErr w:type="gramEnd"/>
            <w:r>
              <w:t xml:space="preserve"> involving SA1 to clarify that issue from a requirement’s perspective.</w:t>
            </w:r>
          </w:p>
        </w:tc>
      </w:tr>
      <w:tr w:rsidR="00C775C4" w14:paraId="79F955D7" w14:textId="77777777">
        <w:tc>
          <w:tcPr>
            <w:tcW w:w="1668" w:type="dxa"/>
            <w:shd w:val="clear" w:color="auto" w:fill="auto"/>
          </w:tcPr>
          <w:p w14:paraId="7673F9E8" w14:textId="77777777" w:rsidR="00C775C4" w:rsidRDefault="004F42E0">
            <w:r>
              <w:t>Qualcomm</w:t>
            </w:r>
          </w:p>
        </w:tc>
        <w:tc>
          <w:tcPr>
            <w:tcW w:w="7620" w:type="dxa"/>
            <w:shd w:val="clear" w:color="auto" w:fill="auto"/>
          </w:tcPr>
          <w:p w14:paraId="5A473CEE" w14:textId="77777777" w:rsidR="00C775C4" w:rsidRDefault="004F42E0">
            <w:r>
              <w:t>It is not clear what more do we want to ask SA3. There is a requirement, we either support it or not. Option 1 is providing misinformation that the current MDT mechanism suffices and Option 2 is not clear.</w:t>
            </w:r>
          </w:p>
        </w:tc>
      </w:tr>
      <w:tr w:rsidR="00C775C4" w14:paraId="3E4E242F" w14:textId="77777777">
        <w:tc>
          <w:tcPr>
            <w:tcW w:w="1668" w:type="dxa"/>
            <w:shd w:val="clear" w:color="auto" w:fill="auto"/>
          </w:tcPr>
          <w:p w14:paraId="6D5F2212" w14:textId="77777777" w:rsidR="00C775C4" w:rsidRDefault="004F42E0">
            <w:r>
              <w:t>BT</w:t>
            </w:r>
          </w:p>
        </w:tc>
        <w:tc>
          <w:tcPr>
            <w:tcW w:w="7620" w:type="dxa"/>
            <w:shd w:val="clear" w:color="auto" w:fill="auto"/>
          </w:tcPr>
          <w:p w14:paraId="75AB0E3D" w14:textId="77777777" w:rsidR="00C775C4" w:rsidRDefault="004F42E0">
            <w:r>
              <w:t>Companies have different views if the network should retrieve the location information contained in RLF/CEF reports from the UE without consent, this point should be clarified with SA3 if no consensus can be reached.</w:t>
            </w:r>
          </w:p>
        </w:tc>
      </w:tr>
      <w:tr w:rsidR="00C775C4" w14:paraId="3FFDB54A" w14:textId="77777777">
        <w:tc>
          <w:tcPr>
            <w:tcW w:w="1668" w:type="dxa"/>
            <w:shd w:val="clear" w:color="auto" w:fill="auto"/>
          </w:tcPr>
          <w:p w14:paraId="56CEF9D0" w14:textId="77777777" w:rsidR="00C775C4" w:rsidRDefault="004F42E0">
            <w:pPr>
              <w:rPr>
                <w:lang w:eastAsia="zh-CN"/>
              </w:rPr>
            </w:pPr>
            <w:r>
              <w:rPr>
                <w:rFonts w:hint="eastAsia"/>
                <w:lang w:eastAsia="zh-CN"/>
              </w:rPr>
              <w:t>S</w:t>
            </w:r>
            <w:r>
              <w:rPr>
                <w:lang w:eastAsia="zh-CN"/>
              </w:rPr>
              <w:t>amsung</w:t>
            </w:r>
          </w:p>
        </w:tc>
        <w:tc>
          <w:tcPr>
            <w:tcW w:w="7620" w:type="dxa"/>
            <w:shd w:val="clear" w:color="auto" w:fill="auto"/>
          </w:tcPr>
          <w:p w14:paraId="5D527920" w14:textId="77777777" w:rsidR="00C775C4" w:rsidRDefault="004F42E0">
            <w:pPr>
              <w:rPr>
                <w:lang w:eastAsia="zh-CN"/>
              </w:rPr>
            </w:pPr>
            <w:r>
              <w:rPr>
                <w:lang w:eastAsia="zh-CN"/>
              </w:rPr>
              <w:t>I tend to agree with Qualcomm. It is requirement, either we specify it or not. Seems no further SA3 work.</w:t>
            </w:r>
          </w:p>
        </w:tc>
      </w:tr>
      <w:tr w:rsidR="00C775C4" w14:paraId="379B6085" w14:textId="77777777">
        <w:tc>
          <w:tcPr>
            <w:tcW w:w="1668" w:type="dxa"/>
            <w:shd w:val="clear" w:color="auto" w:fill="auto"/>
          </w:tcPr>
          <w:p w14:paraId="0320AA9C" w14:textId="77777777" w:rsidR="00C775C4" w:rsidRDefault="004F42E0">
            <w:pPr>
              <w:rPr>
                <w:lang w:eastAsia="zh-CN"/>
              </w:rPr>
            </w:pPr>
            <w:r>
              <w:rPr>
                <w:rFonts w:hint="eastAsia"/>
                <w:lang w:eastAsia="zh-CN"/>
              </w:rPr>
              <w:t>CMCC</w:t>
            </w:r>
          </w:p>
        </w:tc>
        <w:tc>
          <w:tcPr>
            <w:tcW w:w="7620" w:type="dxa"/>
            <w:shd w:val="clear" w:color="auto" w:fill="auto"/>
          </w:tcPr>
          <w:p w14:paraId="173DC42B" w14:textId="77777777" w:rsidR="00C775C4" w:rsidRDefault="004F42E0">
            <w:pPr>
              <w:rPr>
                <w:lang w:eastAsia="zh-CN"/>
              </w:rPr>
            </w:pPr>
            <w:r>
              <w:rPr>
                <w:rFonts w:hint="eastAsia"/>
                <w:lang w:eastAsia="zh-CN"/>
              </w:rPr>
              <w:t>Option 1, and may be option 1+option 2</w:t>
            </w:r>
          </w:p>
        </w:tc>
      </w:tr>
      <w:tr w:rsidR="00C775C4" w14:paraId="6A608198" w14:textId="77777777">
        <w:tc>
          <w:tcPr>
            <w:tcW w:w="1668" w:type="dxa"/>
            <w:shd w:val="clear" w:color="auto" w:fill="auto"/>
          </w:tcPr>
          <w:p w14:paraId="5ED28FF4" w14:textId="77777777" w:rsidR="00C775C4" w:rsidRDefault="004F42E0">
            <w:pPr>
              <w:rPr>
                <w:lang w:val="en-US" w:eastAsia="zh-CN"/>
              </w:rPr>
            </w:pPr>
            <w:r>
              <w:rPr>
                <w:rFonts w:hint="eastAsia"/>
                <w:lang w:val="en-US" w:eastAsia="zh-CN"/>
              </w:rPr>
              <w:t>ZTE</w:t>
            </w:r>
          </w:p>
        </w:tc>
        <w:tc>
          <w:tcPr>
            <w:tcW w:w="7620" w:type="dxa"/>
            <w:shd w:val="clear" w:color="auto" w:fill="auto"/>
          </w:tcPr>
          <w:p w14:paraId="4EE961FA" w14:textId="77777777" w:rsidR="00C775C4" w:rsidRDefault="004F42E0">
            <w:pPr>
              <w:rPr>
                <w:lang w:val="en-US" w:eastAsia="zh-CN"/>
              </w:rPr>
            </w:pPr>
            <w:r>
              <w:rPr>
                <w:rFonts w:hint="eastAsia"/>
                <w:lang w:val="en-US" w:eastAsia="zh-CN"/>
              </w:rPr>
              <w:t>Would be fine to combine option 1 + option 2.</w:t>
            </w:r>
          </w:p>
        </w:tc>
      </w:tr>
    </w:tbl>
    <w:p w14:paraId="0BB393AF" w14:textId="25F279A0" w:rsidR="00376370" w:rsidRDefault="00376370" w:rsidP="00376370">
      <w:pPr>
        <w:rPr>
          <w:b/>
          <w:bCs/>
          <w:u w:val="single"/>
        </w:rPr>
      </w:pPr>
      <w:r>
        <w:rPr>
          <w:b/>
          <w:bCs/>
          <w:u w:val="single"/>
        </w:rPr>
        <w:t>Summary of Q4:</w:t>
      </w:r>
    </w:p>
    <w:p w14:paraId="135892E4" w14:textId="79C59C8B" w:rsidR="00C775C4" w:rsidRDefault="00376370">
      <w:r w:rsidRPr="00BD211F">
        <w:rPr>
          <w:u w:val="single"/>
        </w:rPr>
        <w:t>Overview of the replies:</w:t>
      </w:r>
      <w:r w:rsidRPr="00BD211F">
        <w:rPr>
          <w:b/>
          <w:bCs/>
          <w:u w:val="single"/>
        </w:rPr>
        <w:t xml:space="preserve"> </w:t>
      </w:r>
      <w:r>
        <w:t>1+2: 4 or 5 companies; Not sure</w:t>
      </w:r>
      <w:r w:rsidR="00533A7D">
        <w:t xml:space="preserve"> (ask SA3)</w:t>
      </w:r>
      <w:r>
        <w:t>: 1 company; Option 3 alone: 3 companies</w:t>
      </w:r>
    </w:p>
    <w:p w14:paraId="4807F32B" w14:textId="77777777" w:rsidR="00C775C4" w:rsidRDefault="00C775C4"/>
    <w:p w14:paraId="74089741" w14:textId="55585E94" w:rsidR="00C775C4" w:rsidRDefault="00A35777">
      <w:pPr>
        <w:pStyle w:val="Heading2"/>
      </w:pPr>
      <w:r>
        <w:t>4</w:t>
      </w:r>
      <w:r w:rsidR="004F42E0">
        <w:t>.2 RAN3 specification impacts (if any)</w:t>
      </w:r>
    </w:p>
    <w:p w14:paraId="089F8244" w14:textId="77777777" w:rsidR="00C775C4" w:rsidRDefault="004F42E0">
      <w:r>
        <w:t>The specification updates proposed in [4400] are either based on the introduction of a new IE (NGAP/</w:t>
      </w:r>
      <w:proofErr w:type="spellStart"/>
      <w:r>
        <w:t>XnAP</w:t>
      </w:r>
      <w:proofErr w:type="spellEnd"/>
      <w:r>
        <w:t xml:space="preserve">) for user consent to location information sharing on the </w:t>
      </w:r>
      <w:proofErr w:type="spellStart"/>
      <w:r>
        <w:t>Uu</w:t>
      </w:r>
      <w:proofErr w:type="spellEnd"/>
      <w:r>
        <w:t xml:space="preserve"> interface, or clarification (in NGAP/</w:t>
      </w:r>
      <w:proofErr w:type="spellStart"/>
      <w:r>
        <w:t>XnAP</w:t>
      </w:r>
      <w:proofErr w:type="spellEnd"/>
      <w:r>
        <w:t>) that the existing user consent information also applies for acquiring UE location information in RLF, connection failure and SCG failure reporting. The latter approach is also followed in [4679], with CRs proposed for NGAP/</w:t>
      </w:r>
      <w:proofErr w:type="spellStart"/>
      <w:r>
        <w:t>XnAP</w:t>
      </w:r>
      <w:proofErr w:type="spellEnd"/>
      <w:r>
        <w:t>/S1AP/X2AP.</w:t>
      </w:r>
    </w:p>
    <w:p w14:paraId="6A5522AC" w14:textId="77777777" w:rsidR="00C775C4" w:rsidRDefault="004F42E0">
      <w:pPr>
        <w:rPr>
          <w:b/>
          <w:bCs/>
        </w:rPr>
      </w:pPr>
      <w:r>
        <w:rPr>
          <w:b/>
          <w:bCs/>
        </w:rPr>
        <w:lastRenderedPageBreak/>
        <w:t>Q5: In case RAN3 decides to agree to update their specification, please provide your preference between:</w:t>
      </w:r>
    </w:p>
    <w:p w14:paraId="5F20149F" w14:textId="77777777" w:rsidR="00C775C4" w:rsidRDefault="004F42E0">
      <w:pPr>
        <w:numPr>
          <w:ilvl w:val="0"/>
          <w:numId w:val="4"/>
        </w:numPr>
        <w:rPr>
          <w:b/>
          <w:bCs/>
        </w:rPr>
      </w:pPr>
      <w:r>
        <w:rPr>
          <w:b/>
          <w:bCs/>
        </w:rPr>
        <w:t>Option A: CRs introducing a new IE for user consent to location information sharing</w:t>
      </w:r>
    </w:p>
    <w:p w14:paraId="6CC4066E" w14:textId="77777777" w:rsidR="00C775C4" w:rsidRDefault="004F42E0">
      <w:pPr>
        <w:numPr>
          <w:ilvl w:val="0"/>
          <w:numId w:val="4"/>
        </w:numPr>
        <w:rPr>
          <w:b/>
          <w:bCs/>
        </w:rPr>
      </w:pPr>
      <w:r>
        <w:rPr>
          <w:b/>
          <w:bCs/>
        </w:rPr>
        <w:t>Option B: CRs repurposing the existing MDT user consent IE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C775C4" w14:paraId="798E5BF9" w14:textId="77777777">
        <w:tc>
          <w:tcPr>
            <w:tcW w:w="1668" w:type="dxa"/>
            <w:shd w:val="clear" w:color="auto" w:fill="auto"/>
          </w:tcPr>
          <w:p w14:paraId="37378EAA" w14:textId="77777777" w:rsidR="00C775C4" w:rsidRDefault="004F42E0">
            <w:r>
              <w:t>Company</w:t>
            </w:r>
          </w:p>
        </w:tc>
        <w:tc>
          <w:tcPr>
            <w:tcW w:w="7620" w:type="dxa"/>
            <w:shd w:val="clear" w:color="auto" w:fill="auto"/>
          </w:tcPr>
          <w:p w14:paraId="6968EE64" w14:textId="77777777" w:rsidR="00C775C4" w:rsidRDefault="004F42E0">
            <w:r>
              <w:t>Comment</w:t>
            </w:r>
          </w:p>
        </w:tc>
      </w:tr>
      <w:tr w:rsidR="00C775C4" w14:paraId="64D04B18" w14:textId="77777777">
        <w:tc>
          <w:tcPr>
            <w:tcW w:w="1668" w:type="dxa"/>
            <w:shd w:val="clear" w:color="auto" w:fill="auto"/>
          </w:tcPr>
          <w:p w14:paraId="656B6401" w14:textId="77777777" w:rsidR="00C775C4" w:rsidRDefault="004F42E0">
            <w:r>
              <w:t>Nokia</w:t>
            </w:r>
          </w:p>
        </w:tc>
        <w:tc>
          <w:tcPr>
            <w:tcW w:w="7620" w:type="dxa"/>
            <w:shd w:val="clear" w:color="auto" w:fill="auto"/>
          </w:tcPr>
          <w:p w14:paraId="63E860A3" w14:textId="77777777" w:rsidR="00C775C4" w:rsidRDefault="004F42E0">
            <w:r>
              <w:t xml:space="preserve">As commented above (see our comment to Q1), current specification already satisfies SA3’s requirements on user privacy and the proposed changes (option A, B) would not avoid relatively detailed UE location information to be present in the RAN. </w:t>
            </w:r>
            <w:proofErr w:type="gramStart"/>
            <w:r>
              <w:t>So</w:t>
            </w:r>
            <w:proofErr w:type="gramEnd"/>
            <w:r>
              <w:t xml:space="preserve"> none of the changes are beneficial. Also, we believe that the intention of the CRs is to limit location information sharing on the </w:t>
            </w:r>
            <w:proofErr w:type="spellStart"/>
            <w:r>
              <w:t>Uu</w:t>
            </w:r>
            <w:proofErr w:type="spellEnd"/>
            <w:r>
              <w:t xml:space="preserve"> interface. If so, we believe that NGAP/</w:t>
            </w:r>
            <w:proofErr w:type="spellStart"/>
            <w:r>
              <w:t>XnAP</w:t>
            </w:r>
            <w:proofErr w:type="spellEnd"/>
            <w:r>
              <w:t>/S1AP/X2AP are not the most suitable specifications, but stage 2 should be used. If RAN3 still concludes to go for stage 3 changes, enhanced clarity could be achieved by a stage 2 CR (if needed) and addition of stage 3 procedural text like “use the information as specified in TS 37.320” .</w:t>
            </w:r>
          </w:p>
        </w:tc>
      </w:tr>
      <w:tr w:rsidR="00C775C4" w14:paraId="77ADA067" w14:textId="77777777">
        <w:tc>
          <w:tcPr>
            <w:tcW w:w="1668" w:type="dxa"/>
            <w:shd w:val="clear" w:color="auto" w:fill="auto"/>
          </w:tcPr>
          <w:p w14:paraId="25DDB78E" w14:textId="77777777" w:rsidR="00C775C4" w:rsidRDefault="004F42E0">
            <w:r>
              <w:rPr>
                <w:rFonts w:hint="eastAsia"/>
              </w:rPr>
              <w:t>Huawei</w:t>
            </w:r>
          </w:p>
        </w:tc>
        <w:tc>
          <w:tcPr>
            <w:tcW w:w="7620" w:type="dxa"/>
            <w:shd w:val="clear" w:color="auto" w:fill="auto"/>
          </w:tcPr>
          <w:p w14:paraId="45D78246" w14:textId="19EB7C18" w:rsidR="00C775C4" w:rsidRDefault="00533A7D">
            <w:r>
              <w:t xml:space="preserve">[moderator: this comment was empty, </w:t>
            </w:r>
            <w:r w:rsidR="00B40B61">
              <w:t xml:space="preserve">however, </w:t>
            </w:r>
            <w:r>
              <w:t>HW supports option B in their paper 4679]</w:t>
            </w:r>
          </w:p>
        </w:tc>
      </w:tr>
      <w:tr w:rsidR="00C775C4" w14:paraId="582542E8" w14:textId="77777777">
        <w:tc>
          <w:tcPr>
            <w:tcW w:w="1668" w:type="dxa"/>
            <w:shd w:val="clear" w:color="auto" w:fill="auto"/>
          </w:tcPr>
          <w:p w14:paraId="5AEF7B9D" w14:textId="77777777" w:rsidR="00C775C4" w:rsidRDefault="004F42E0">
            <w:r>
              <w:t>Ericsson</w:t>
            </w:r>
          </w:p>
        </w:tc>
        <w:tc>
          <w:tcPr>
            <w:tcW w:w="7620" w:type="dxa"/>
            <w:shd w:val="clear" w:color="auto" w:fill="auto"/>
          </w:tcPr>
          <w:p w14:paraId="30661AF7" w14:textId="77777777" w:rsidR="00C775C4" w:rsidRDefault="004F42E0">
            <w:r>
              <w:t>We do not believe that stage 3 changes are appropriate to address the case of user consent.</w:t>
            </w:r>
          </w:p>
        </w:tc>
      </w:tr>
      <w:tr w:rsidR="00C775C4" w14:paraId="7506E72E" w14:textId="77777777">
        <w:tc>
          <w:tcPr>
            <w:tcW w:w="1668" w:type="dxa"/>
            <w:shd w:val="clear" w:color="auto" w:fill="auto"/>
          </w:tcPr>
          <w:p w14:paraId="28849B92" w14:textId="77777777" w:rsidR="00C775C4" w:rsidRDefault="004F42E0">
            <w:r>
              <w:t>Apple</w:t>
            </w:r>
          </w:p>
        </w:tc>
        <w:tc>
          <w:tcPr>
            <w:tcW w:w="7620" w:type="dxa"/>
            <w:shd w:val="clear" w:color="auto" w:fill="auto"/>
          </w:tcPr>
          <w:p w14:paraId="0250E8FD" w14:textId="77777777" w:rsidR="00C775C4" w:rsidRDefault="004F42E0">
            <w:r>
              <w:t>We prefer option A.</w:t>
            </w:r>
          </w:p>
        </w:tc>
      </w:tr>
      <w:tr w:rsidR="00C775C4" w14:paraId="09BAEB92" w14:textId="77777777">
        <w:tc>
          <w:tcPr>
            <w:tcW w:w="1668" w:type="dxa"/>
            <w:shd w:val="clear" w:color="auto" w:fill="auto"/>
          </w:tcPr>
          <w:p w14:paraId="24DFD58A" w14:textId="77777777" w:rsidR="00C775C4" w:rsidRDefault="004F42E0">
            <w:r>
              <w:t>Qualcomm</w:t>
            </w:r>
          </w:p>
        </w:tc>
        <w:tc>
          <w:tcPr>
            <w:tcW w:w="7620" w:type="dxa"/>
            <w:shd w:val="clear" w:color="auto" w:fill="auto"/>
          </w:tcPr>
          <w:p w14:paraId="3A0FC30F" w14:textId="77777777" w:rsidR="00C775C4" w:rsidRDefault="004F42E0">
            <w:r>
              <w:t>Option A would be our preference to decouple from MDT user consent. But we are OK with Option B as well.</w:t>
            </w:r>
          </w:p>
        </w:tc>
      </w:tr>
      <w:tr w:rsidR="00C775C4" w14:paraId="47C40045" w14:textId="77777777">
        <w:tc>
          <w:tcPr>
            <w:tcW w:w="1668" w:type="dxa"/>
            <w:shd w:val="clear" w:color="auto" w:fill="auto"/>
          </w:tcPr>
          <w:p w14:paraId="62EC00B3" w14:textId="77777777" w:rsidR="00C775C4" w:rsidRDefault="004F42E0">
            <w:r>
              <w:t>BT</w:t>
            </w:r>
          </w:p>
        </w:tc>
        <w:tc>
          <w:tcPr>
            <w:tcW w:w="7620" w:type="dxa"/>
            <w:shd w:val="clear" w:color="auto" w:fill="auto"/>
          </w:tcPr>
          <w:p w14:paraId="12E3C9DE" w14:textId="77777777" w:rsidR="00C775C4" w:rsidRDefault="004F42E0">
            <w:r>
              <w:t xml:space="preserve">Option B, would be the preferred solution if RAN3 decides to go ahead with changes. We do not support option </w:t>
            </w:r>
            <w:proofErr w:type="gramStart"/>
            <w:r>
              <w:t>A,</w:t>
            </w:r>
            <w:proofErr w:type="gramEnd"/>
            <w:r>
              <w:t xml:space="preserve"> it would be undesirable to add a new user consent specifically for RLF/CEF.</w:t>
            </w:r>
          </w:p>
        </w:tc>
      </w:tr>
      <w:tr w:rsidR="00C775C4" w14:paraId="06A755BF" w14:textId="77777777">
        <w:tc>
          <w:tcPr>
            <w:tcW w:w="1668" w:type="dxa"/>
            <w:shd w:val="clear" w:color="auto" w:fill="auto"/>
          </w:tcPr>
          <w:p w14:paraId="454B40DD" w14:textId="77777777" w:rsidR="00C775C4" w:rsidRDefault="004F42E0">
            <w:pPr>
              <w:rPr>
                <w:lang w:eastAsia="zh-CN"/>
              </w:rPr>
            </w:pPr>
            <w:r>
              <w:rPr>
                <w:rFonts w:hint="eastAsia"/>
                <w:lang w:eastAsia="zh-CN"/>
              </w:rPr>
              <w:t>S</w:t>
            </w:r>
            <w:r>
              <w:rPr>
                <w:lang w:eastAsia="zh-CN"/>
              </w:rPr>
              <w:t>amsung</w:t>
            </w:r>
          </w:p>
        </w:tc>
        <w:tc>
          <w:tcPr>
            <w:tcW w:w="7620" w:type="dxa"/>
            <w:shd w:val="clear" w:color="auto" w:fill="auto"/>
          </w:tcPr>
          <w:p w14:paraId="73044A67" w14:textId="77777777" w:rsidR="00C775C4" w:rsidRDefault="004F42E0">
            <w:pPr>
              <w:rPr>
                <w:lang w:eastAsia="zh-CN"/>
              </w:rPr>
            </w:pPr>
            <w:r>
              <w:rPr>
                <w:rFonts w:hint="eastAsia"/>
                <w:lang w:eastAsia="zh-CN"/>
              </w:rPr>
              <w:t>O</w:t>
            </w:r>
            <w:r>
              <w:rPr>
                <w:lang w:eastAsia="zh-CN"/>
              </w:rPr>
              <w:t>ption B.</w:t>
            </w:r>
          </w:p>
        </w:tc>
      </w:tr>
    </w:tbl>
    <w:p w14:paraId="681A5E10" w14:textId="77777777" w:rsidR="00533A7D" w:rsidRDefault="00533A7D" w:rsidP="00533A7D">
      <w:pPr>
        <w:rPr>
          <w:b/>
          <w:bCs/>
          <w:u w:val="single"/>
        </w:rPr>
      </w:pPr>
    </w:p>
    <w:p w14:paraId="2F12007C" w14:textId="73F06332" w:rsidR="00533A7D" w:rsidRDefault="00533A7D" w:rsidP="00533A7D">
      <w:pPr>
        <w:rPr>
          <w:b/>
          <w:bCs/>
          <w:u w:val="single"/>
        </w:rPr>
      </w:pPr>
      <w:r>
        <w:rPr>
          <w:b/>
          <w:bCs/>
          <w:u w:val="single"/>
        </w:rPr>
        <w:t>Summary of Q5:</w:t>
      </w:r>
    </w:p>
    <w:p w14:paraId="60A96F55" w14:textId="0AD875B0" w:rsidR="00533A7D" w:rsidRDefault="00533A7D" w:rsidP="00533A7D">
      <w:r w:rsidRPr="00BD211F">
        <w:rPr>
          <w:u w:val="single"/>
        </w:rPr>
        <w:t>Overview of the replies:</w:t>
      </w:r>
      <w:r w:rsidRPr="00BD211F">
        <w:rPr>
          <w:b/>
          <w:bCs/>
          <w:u w:val="single"/>
        </w:rPr>
        <w:t xml:space="preserve"> </w:t>
      </w:r>
      <w:r>
        <w:t>Option A: 2 companies; Option B: 4 companies; Neither option: 2 companies</w:t>
      </w:r>
    </w:p>
    <w:p w14:paraId="5C912B78" w14:textId="77777777" w:rsidR="00C775C4" w:rsidRDefault="00C775C4"/>
    <w:p w14:paraId="483D8571" w14:textId="77777777" w:rsidR="00C775C4" w:rsidRDefault="004F42E0">
      <w:r>
        <w:t>[4679] contains the following additional proposals:</w:t>
      </w:r>
    </w:p>
    <w:p w14:paraId="7B351AA3" w14:textId="77777777" w:rsidR="00C775C4" w:rsidRDefault="004F42E0">
      <w:pPr>
        <w:numPr>
          <w:ilvl w:val="0"/>
          <w:numId w:val="5"/>
        </w:numPr>
        <w:rPr>
          <w:b/>
        </w:rPr>
      </w:pPr>
      <w:r>
        <w:rPr>
          <w:rFonts w:hint="eastAsia"/>
          <w:b/>
        </w:rPr>
        <w:t xml:space="preserve">Proposal </w:t>
      </w:r>
      <w:r>
        <w:rPr>
          <w:b/>
        </w:rPr>
        <w:t>5 [4679]</w:t>
      </w:r>
      <w:r>
        <w:rPr>
          <w:rFonts w:hint="eastAsia"/>
          <w:b/>
        </w:rPr>
        <w:t>:</w:t>
      </w:r>
      <w:r>
        <w:rPr>
          <w:b/>
        </w:rPr>
        <w:t xml:space="preserve"> RAN3 to discuss and decide whether to consider the SCG failure report case as well.</w:t>
      </w:r>
    </w:p>
    <w:p w14:paraId="3F4BD035" w14:textId="77777777" w:rsidR="00C775C4" w:rsidRDefault="004F42E0">
      <w:pPr>
        <w:numPr>
          <w:ilvl w:val="0"/>
          <w:numId w:val="5"/>
        </w:numPr>
        <w:rPr>
          <w:b/>
        </w:rPr>
      </w:pPr>
      <w:r>
        <w:rPr>
          <w:b/>
        </w:rPr>
        <w:t>Proposal 6 [4679]:  The NG-RAN node should remove the UE location information if included in the CEF report and the user consent is not received from AMF for the UE before forwarding it to OAM.</w:t>
      </w:r>
    </w:p>
    <w:p w14:paraId="5A7F57CB" w14:textId="77777777" w:rsidR="00C775C4" w:rsidRDefault="004F42E0">
      <w:pPr>
        <w:rPr>
          <w:b/>
          <w:bCs/>
        </w:rPr>
      </w:pPr>
      <w:r>
        <w:rPr>
          <w:b/>
          <w:bCs/>
        </w:rPr>
        <w:t>Q6: Please provide your view on proposals 5 and 6 in [4679].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C775C4" w14:paraId="3D7EFA26" w14:textId="77777777">
        <w:tc>
          <w:tcPr>
            <w:tcW w:w="1668" w:type="dxa"/>
            <w:shd w:val="clear" w:color="auto" w:fill="auto"/>
          </w:tcPr>
          <w:p w14:paraId="6257FF14" w14:textId="77777777" w:rsidR="00C775C4" w:rsidRDefault="004F42E0">
            <w:r>
              <w:t>Company</w:t>
            </w:r>
          </w:p>
        </w:tc>
        <w:tc>
          <w:tcPr>
            <w:tcW w:w="7620" w:type="dxa"/>
            <w:shd w:val="clear" w:color="auto" w:fill="auto"/>
          </w:tcPr>
          <w:p w14:paraId="64E19787" w14:textId="77777777" w:rsidR="00C775C4" w:rsidRDefault="004F42E0">
            <w:r>
              <w:t>Comment</w:t>
            </w:r>
          </w:p>
        </w:tc>
      </w:tr>
      <w:tr w:rsidR="00C775C4" w14:paraId="10CD55C3" w14:textId="77777777">
        <w:tc>
          <w:tcPr>
            <w:tcW w:w="1668" w:type="dxa"/>
            <w:shd w:val="clear" w:color="auto" w:fill="auto"/>
          </w:tcPr>
          <w:p w14:paraId="4B4F510E" w14:textId="77777777" w:rsidR="00C775C4" w:rsidRDefault="004F42E0">
            <w:r>
              <w:t>Nokia</w:t>
            </w:r>
          </w:p>
        </w:tc>
        <w:tc>
          <w:tcPr>
            <w:tcW w:w="7620" w:type="dxa"/>
            <w:shd w:val="clear" w:color="auto" w:fill="auto"/>
          </w:tcPr>
          <w:p w14:paraId="3CE56A57" w14:textId="77777777" w:rsidR="00C775C4" w:rsidRDefault="004F42E0">
            <w:pPr>
              <w:rPr>
                <w:rFonts w:cs="Arial"/>
                <w:lang w:eastAsia="ja-JP"/>
              </w:rPr>
            </w:pPr>
            <w:r>
              <w:t xml:space="preserve">P5: We don’t see any reason to handle </w:t>
            </w:r>
            <w:proofErr w:type="spellStart"/>
            <w:r>
              <w:rPr>
                <w:i/>
                <w:iCs/>
              </w:rPr>
              <w:t>SCGFailureInformation</w:t>
            </w:r>
            <w:proofErr w:type="spellEnd"/>
            <w:r>
              <w:t xml:space="preserve"> or </w:t>
            </w:r>
            <w:proofErr w:type="spellStart"/>
            <w:r>
              <w:rPr>
                <w:i/>
                <w:iCs/>
              </w:rPr>
              <w:t>SCGFailureInformationEUTRA</w:t>
            </w:r>
            <w:proofErr w:type="spellEnd"/>
            <w:r>
              <w:rPr>
                <w:i/>
                <w:iCs/>
              </w:rPr>
              <w:t xml:space="preserve"> </w:t>
            </w:r>
            <w:r>
              <w:rPr>
                <w:rFonts w:cs="Arial"/>
                <w:lang w:eastAsia="ja-JP"/>
              </w:rPr>
              <w:t>messages differently from other UE reports.</w:t>
            </w:r>
          </w:p>
          <w:p w14:paraId="482D66CB" w14:textId="77777777" w:rsidR="00C775C4" w:rsidRDefault="004F42E0">
            <w:pPr>
              <w:rPr>
                <w:rFonts w:cs="Arial"/>
                <w:lang w:eastAsia="ja-JP"/>
              </w:rPr>
            </w:pPr>
            <w:r>
              <w:rPr>
                <w:rFonts w:cs="Arial"/>
                <w:lang w:eastAsia="ja-JP"/>
              </w:rPr>
              <w:t xml:space="preserve">P6: We’re not sure to identify the scenario addressed by the proponents, because from other observations it seems clear that the UE without user consent is not eligible for MDT. The RAN needs a TCE address </w:t>
            </w:r>
            <w:proofErr w:type="gramStart"/>
            <w:r>
              <w:rPr>
                <w:rFonts w:cs="Arial"/>
                <w:lang w:eastAsia="ja-JP"/>
              </w:rPr>
              <w:t>in order to</w:t>
            </w:r>
            <w:proofErr w:type="gramEnd"/>
            <w:r>
              <w:rPr>
                <w:rFonts w:cs="Arial"/>
                <w:lang w:eastAsia="ja-JP"/>
              </w:rPr>
              <w:t xml:space="preserve"> forward the CEF report, so if the TCE address is not provided for MDT, does this proposal relate to </w:t>
            </w:r>
            <w:proofErr w:type="spellStart"/>
            <w:r>
              <w:rPr>
                <w:rFonts w:cs="Arial"/>
                <w:lang w:eastAsia="ja-JP"/>
              </w:rPr>
              <w:t>Uu</w:t>
            </w:r>
            <w:proofErr w:type="spellEnd"/>
            <w:r>
              <w:rPr>
                <w:rFonts w:cs="Arial"/>
                <w:lang w:eastAsia="ja-JP"/>
              </w:rPr>
              <w:t xml:space="preserve"> tracing? If the proposal is meant for Trace, we believe it is out of scope of the user consent discussion. </w:t>
            </w:r>
          </w:p>
        </w:tc>
      </w:tr>
      <w:tr w:rsidR="00C775C4" w14:paraId="4E5E1328" w14:textId="77777777">
        <w:tc>
          <w:tcPr>
            <w:tcW w:w="1668" w:type="dxa"/>
            <w:shd w:val="clear" w:color="auto" w:fill="auto"/>
          </w:tcPr>
          <w:p w14:paraId="305FCF6A" w14:textId="77777777" w:rsidR="00C775C4" w:rsidRDefault="004F42E0">
            <w:r>
              <w:rPr>
                <w:rFonts w:hint="eastAsia"/>
              </w:rPr>
              <w:t>Huawei</w:t>
            </w:r>
          </w:p>
        </w:tc>
        <w:tc>
          <w:tcPr>
            <w:tcW w:w="7620" w:type="dxa"/>
            <w:shd w:val="clear" w:color="auto" w:fill="auto"/>
          </w:tcPr>
          <w:p w14:paraId="66A4EA79" w14:textId="77777777" w:rsidR="00C775C4" w:rsidRDefault="004F42E0">
            <w:r>
              <w:rPr>
                <w:rFonts w:hint="eastAsia"/>
              </w:rPr>
              <w:t xml:space="preserve">OK to not consider </w:t>
            </w:r>
            <w:r>
              <w:t>the</w:t>
            </w:r>
            <w:r>
              <w:rPr>
                <w:rFonts w:hint="eastAsia"/>
              </w:rPr>
              <w:t xml:space="preserve"> </w:t>
            </w:r>
            <w:r>
              <w:t xml:space="preserve">SCG failure case. </w:t>
            </w:r>
          </w:p>
          <w:p w14:paraId="5FC42369" w14:textId="77777777" w:rsidR="00C775C4" w:rsidRDefault="004F42E0">
            <w:r>
              <w:lastRenderedPageBreak/>
              <w:t xml:space="preserve">The scenario is if the user consent for MDT is available for a UE, and RAN receives RLF/CEF reports from the UE containing UE location. </w:t>
            </w:r>
          </w:p>
          <w:p w14:paraId="028F4BDD" w14:textId="77777777" w:rsidR="00C775C4" w:rsidRDefault="004F42E0">
            <w:r>
              <w:t>As per the spec, RAN should forward those CEF/RLF reports to TCE as well, as they are part of MDT data. However, what should the RAN node do with the UE location in the CEF and RLF reports?</w:t>
            </w:r>
          </w:p>
        </w:tc>
      </w:tr>
      <w:tr w:rsidR="00C775C4" w14:paraId="484A5B23" w14:textId="77777777">
        <w:tc>
          <w:tcPr>
            <w:tcW w:w="1668" w:type="dxa"/>
            <w:shd w:val="clear" w:color="auto" w:fill="auto"/>
          </w:tcPr>
          <w:p w14:paraId="0A11D661" w14:textId="77777777" w:rsidR="00C775C4" w:rsidRDefault="004F42E0">
            <w:r>
              <w:lastRenderedPageBreak/>
              <w:t>Ericsson</w:t>
            </w:r>
          </w:p>
        </w:tc>
        <w:tc>
          <w:tcPr>
            <w:tcW w:w="7620" w:type="dxa"/>
            <w:shd w:val="clear" w:color="auto" w:fill="auto"/>
          </w:tcPr>
          <w:p w14:paraId="695A007B" w14:textId="77777777" w:rsidR="00C775C4" w:rsidRDefault="004F42E0">
            <w:r>
              <w:t xml:space="preserve">The discussion triggered by SA3 concerns RLF and CEF </w:t>
            </w:r>
            <w:proofErr w:type="gramStart"/>
            <w:r>
              <w:t>reports</w:t>
            </w:r>
            <w:proofErr w:type="gramEnd"/>
            <w:r>
              <w:t xml:space="preserve"> and it should not be extended to other reports such as SCG failure reports.</w:t>
            </w:r>
          </w:p>
          <w:p w14:paraId="3CD16632" w14:textId="77777777" w:rsidR="00C775C4" w:rsidRDefault="004F42E0">
            <w:r>
              <w:t xml:space="preserve">We do not see the problem associated with Proposal 6. Proposal 6 seems to state that the simple reception of location information in RLF and CEF reports, where these reports are used only internally to the RAN, constitutes an issue. In our view this is not the case because the reports and all information within it are used internally to the RAN, where the identity of a user cannot be derived. If this case was a problem, then all cases of UE measurement reporting that could lead to derive the UE location would be a problem, </w:t>
            </w:r>
            <w:proofErr w:type="gramStart"/>
            <w:r>
              <w:t>e.g.</w:t>
            </w:r>
            <w:proofErr w:type="gramEnd"/>
            <w:r>
              <w:t xml:space="preserve"> collection of timing advance, collection of neigh bour cell measurements, etc.</w:t>
            </w:r>
          </w:p>
        </w:tc>
      </w:tr>
      <w:tr w:rsidR="00C775C4" w14:paraId="00E73A80" w14:textId="77777777">
        <w:tc>
          <w:tcPr>
            <w:tcW w:w="1668" w:type="dxa"/>
            <w:shd w:val="clear" w:color="auto" w:fill="auto"/>
          </w:tcPr>
          <w:p w14:paraId="679738C9" w14:textId="77777777" w:rsidR="00C775C4" w:rsidRDefault="004F42E0">
            <w:r>
              <w:t>Qualcomm</w:t>
            </w:r>
          </w:p>
        </w:tc>
        <w:tc>
          <w:tcPr>
            <w:tcW w:w="7620" w:type="dxa"/>
            <w:shd w:val="clear" w:color="auto" w:fill="auto"/>
          </w:tcPr>
          <w:p w14:paraId="2F6A6684" w14:textId="77777777" w:rsidR="00C775C4" w:rsidRDefault="004F42E0">
            <w:r>
              <w:t xml:space="preserve">P5: We are fine to apply same User Consent principle for location reports for </w:t>
            </w:r>
            <w:proofErr w:type="spellStart"/>
            <w:r>
              <w:rPr>
                <w:i/>
              </w:rPr>
              <w:t>SCGFailureInformation</w:t>
            </w:r>
            <w:proofErr w:type="spellEnd"/>
            <w:r>
              <w:rPr>
                <w:i/>
              </w:rPr>
              <w:t xml:space="preserve"> </w:t>
            </w:r>
            <w:r>
              <w:t>as well if this can also be sent to TCE.</w:t>
            </w:r>
          </w:p>
          <w:p w14:paraId="1FEB9439" w14:textId="77777777" w:rsidR="00C775C4" w:rsidRDefault="004F42E0">
            <w:r>
              <w:t xml:space="preserve">P6: We believe this is talking about sending </w:t>
            </w:r>
            <w:proofErr w:type="spellStart"/>
            <w:r>
              <w:t>LocationInformation</w:t>
            </w:r>
            <w:proofErr w:type="spellEnd"/>
            <w:r>
              <w:t xml:space="preserve"> from NG-RAN to TCE. If there is no user consent, NG-RAN should not forward this location information to TCE.</w:t>
            </w:r>
          </w:p>
          <w:p w14:paraId="2BA20003" w14:textId="77777777" w:rsidR="00C775C4" w:rsidRDefault="004F42E0">
            <w:r>
              <w:t>Regarding E///’s comment, RLF/CEF reports are NOT meant only for RAN internal consumption whereas the main optimization happens in TCE to which the reports are forwarded. In contrast, other UE measurements such as TA are RAN internal consumption and not part of SON/MDT.</w:t>
            </w:r>
          </w:p>
        </w:tc>
      </w:tr>
      <w:tr w:rsidR="00C775C4" w14:paraId="7506B671" w14:textId="77777777">
        <w:tc>
          <w:tcPr>
            <w:tcW w:w="1668" w:type="dxa"/>
            <w:shd w:val="clear" w:color="auto" w:fill="auto"/>
          </w:tcPr>
          <w:p w14:paraId="41BBF7F2" w14:textId="77777777" w:rsidR="00C775C4" w:rsidRDefault="004F42E0">
            <w:pPr>
              <w:rPr>
                <w:lang w:eastAsia="zh-CN"/>
              </w:rPr>
            </w:pPr>
            <w:r>
              <w:rPr>
                <w:rFonts w:hint="eastAsia"/>
                <w:lang w:eastAsia="zh-CN"/>
              </w:rPr>
              <w:t>S</w:t>
            </w:r>
            <w:r>
              <w:rPr>
                <w:lang w:eastAsia="zh-CN"/>
              </w:rPr>
              <w:t>amsung</w:t>
            </w:r>
          </w:p>
        </w:tc>
        <w:tc>
          <w:tcPr>
            <w:tcW w:w="7620" w:type="dxa"/>
            <w:shd w:val="clear" w:color="auto" w:fill="auto"/>
          </w:tcPr>
          <w:p w14:paraId="6323E8A3" w14:textId="77777777" w:rsidR="00C775C4" w:rsidRDefault="004F42E0">
            <w:r>
              <w:t>Fine not to</w:t>
            </w:r>
            <w:r>
              <w:rPr>
                <w:rFonts w:hint="eastAsia"/>
              </w:rPr>
              <w:t xml:space="preserve"> consider </w:t>
            </w:r>
            <w:r>
              <w:t>the</w:t>
            </w:r>
            <w:r>
              <w:rPr>
                <w:rFonts w:hint="eastAsia"/>
              </w:rPr>
              <w:t xml:space="preserve"> </w:t>
            </w:r>
            <w:r>
              <w:t>SCG failure case.</w:t>
            </w:r>
          </w:p>
          <w:p w14:paraId="73A0A5D4" w14:textId="77777777" w:rsidR="00C775C4" w:rsidRDefault="004F42E0">
            <w:r>
              <w:t xml:space="preserve">P6 is related to above questions. </w:t>
            </w:r>
          </w:p>
        </w:tc>
      </w:tr>
      <w:tr w:rsidR="00C775C4" w14:paraId="14472EF5" w14:textId="77777777">
        <w:tc>
          <w:tcPr>
            <w:tcW w:w="1668" w:type="dxa"/>
            <w:shd w:val="clear" w:color="auto" w:fill="auto"/>
          </w:tcPr>
          <w:p w14:paraId="1D91F3C8" w14:textId="77777777" w:rsidR="00C775C4" w:rsidRDefault="004F42E0">
            <w:pPr>
              <w:rPr>
                <w:lang w:eastAsia="zh-CN"/>
              </w:rPr>
            </w:pPr>
            <w:r>
              <w:rPr>
                <w:rFonts w:hint="eastAsia"/>
                <w:lang w:eastAsia="zh-CN"/>
              </w:rPr>
              <w:t>CMCC</w:t>
            </w:r>
          </w:p>
        </w:tc>
        <w:tc>
          <w:tcPr>
            <w:tcW w:w="7620" w:type="dxa"/>
            <w:shd w:val="clear" w:color="auto" w:fill="auto"/>
          </w:tcPr>
          <w:p w14:paraId="0341F456" w14:textId="77777777" w:rsidR="00C775C4" w:rsidRDefault="004F42E0">
            <w:pPr>
              <w:rPr>
                <w:lang w:eastAsia="zh-CN"/>
              </w:rPr>
            </w:pPr>
            <w:r>
              <w:rPr>
                <w:rFonts w:hint="eastAsia"/>
                <w:lang w:eastAsia="zh-CN"/>
              </w:rPr>
              <w:t>We don</w:t>
            </w:r>
            <w:r>
              <w:rPr>
                <w:lang w:eastAsia="zh-CN"/>
              </w:rPr>
              <w:t>’</w:t>
            </w:r>
            <w:r>
              <w:rPr>
                <w:rFonts w:hint="eastAsia"/>
                <w:lang w:eastAsia="zh-CN"/>
              </w:rPr>
              <w:t>t think the two proposals needs to be considered.</w:t>
            </w:r>
          </w:p>
        </w:tc>
      </w:tr>
      <w:tr w:rsidR="00C775C4" w14:paraId="77E82E6A" w14:textId="77777777">
        <w:tc>
          <w:tcPr>
            <w:tcW w:w="1668" w:type="dxa"/>
            <w:shd w:val="clear" w:color="auto" w:fill="auto"/>
          </w:tcPr>
          <w:p w14:paraId="09E12AD3" w14:textId="77777777" w:rsidR="00C775C4" w:rsidRDefault="004F42E0">
            <w:pPr>
              <w:rPr>
                <w:lang w:val="en-US" w:eastAsia="zh-CN"/>
              </w:rPr>
            </w:pPr>
            <w:r>
              <w:rPr>
                <w:rFonts w:hint="eastAsia"/>
                <w:lang w:val="en-US" w:eastAsia="zh-CN"/>
              </w:rPr>
              <w:t>ZTE</w:t>
            </w:r>
          </w:p>
        </w:tc>
        <w:tc>
          <w:tcPr>
            <w:tcW w:w="7620" w:type="dxa"/>
            <w:shd w:val="clear" w:color="auto" w:fill="auto"/>
          </w:tcPr>
          <w:p w14:paraId="1E34A584" w14:textId="77777777" w:rsidR="00C775C4" w:rsidRDefault="004F42E0">
            <w:pPr>
              <w:rPr>
                <w:lang w:val="en-US" w:eastAsia="zh-CN"/>
              </w:rPr>
            </w:pPr>
            <w:r>
              <w:rPr>
                <w:rFonts w:hint="eastAsia"/>
                <w:lang w:val="en-US" w:eastAsia="zh-CN"/>
              </w:rPr>
              <w:t xml:space="preserve">SCG failure case is irrelevant with RLF/CEF user case and not </w:t>
            </w:r>
            <w:proofErr w:type="spellStart"/>
            <w:r>
              <w:rPr>
                <w:rFonts w:hint="eastAsia"/>
                <w:lang w:val="en-US" w:eastAsia="zh-CN"/>
              </w:rPr>
              <w:t>not</w:t>
            </w:r>
            <w:proofErr w:type="spellEnd"/>
            <w:r>
              <w:rPr>
                <w:rFonts w:hint="eastAsia"/>
                <w:lang w:val="en-US" w:eastAsia="zh-CN"/>
              </w:rPr>
              <w:t xml:space="preserve"> to be considered.</w:t>
            </w:r>
          </w:p>
          <w:p w14:paraId="64BE69A8" w14:textId="77777777" w:rsidR="00C775C4" w:rsidRDefault="004F42E0">
            <w:pPr>
              <w:rPr>
                <w:lang w:val="en-US" w:eastAsia="zh-CN"/>
              </w:rPr>
            </w:pPr>
            <w:r>
              <w:rPr>
                <w:rFonts w:hint="eastAsia"/>
                <w:lang w:val="en-US" w:eastAsia="zh-CN"/>
              </w:rPr>
              <w:t xml:space="preserve">P6 should </w:t>
            </w:r>
            <w:proofErr w:type="spellStart"/>
            <w:r>
              <w:rPr>
                <w:rFonts w:hint="eastAsia"/>
                <w:lang w:val="en-US" w:eastAsia="zh-CN"/>
              </w:rPr>
              <w:t>based</w:t>
            </w:r>
            <w:proofErr w:type="spellEnd"/>
            <w:r>
              <w:rPr>
                <w:rFonts w:hint="eastAsia"/>
                <w:lang w:val="en-US" w:eastAsia="zh-CN"/>
              </w:rPr>
              <w:t xml:space="preserve"> on outcome of previous approaches. </w:t>
            </w:r>
          </w:p>
        </w:tc>
      </w:tr>
    </w:tbl>
    <w:p w14:paraId="37604B14" w14:textId="77777777" w:rsidR="00B4178D" w:rsidRDefault="00B4178D" w:rsidP="00B4178D">
      <w:pPr>
        <w:rPr>
          <w:b/>
          <w:bCs/>
          <w:u w:val="single"/>
        </w:rPr>
      </w:pPr>
    </w:p>
    <w:p w14:paraId="5EC86749" w14:textId="5297E33F" w:rsidR="00B4178D" w:rsidRDefault="00B4178D" w:rsidP="00B4178D">
      <w:pPr>
        <w:rPr>
          <w:b/>
          <w:bCs/>
          <w:u w:val="single"/>
        </w:rPr>
      </w:pPr>
      <w:r>
        <w:rPr>
          <w:b/>
          <w:bCs/>
          <w:u w:val="single"/>
        </w:rPr>
        <w:t>Summary of Q6:</w:t>
      </w:r>
    </w:p>
    <w:p w14:paraId="2149974A" w14:textId="038B8442" w:rsidR="00C775C4" w:rsidRDefault="00B4178D">
      <w:r>
        <w:t xml:space="preserve">Moderator's comment: These aspects may be considered </w:t>
      </w:r>
      <w:r w:rsidR="007B3DFD">
        <w:t>later</w:t>
      </w:r>
      <w:r>
        <w:t>.</w:t>
      </w:r>
    </w:p>
    <w:p w14:paraId="1F3DB240" w14:textId="3A31431C" w:rsidR="00C775C4" w:rsidRDefault="00A35777">
      <w:pPr>
        <w:pStyle w:val="Heading1"/>
      </w:pPr>
      <w:r>
        <w:t>5</w:t>
      </w:r>
      <w:r w:rsidR="004F42E0">
        <w:tab/>
        <w:t>Conclusion, Recommendations [if needed]</w:t>
      </w:r>
    </w:p>
    <w:p w14:paraId="1CEBF5DA" w14:textId="77777777" w:rsidR="00C775C4" w:rsidRDefault="004F42E0">
      <w:r>
        <w:t>If needed</w:t>
      </w:r>
    </w:p>
    <w:p w14:paraId="2343734E" w14:textId="0EE85FDE" w:rsidR="00C775C4" w:rsidRDefault="00A35777">
      <w:pPr>
        <w:pStyle w:val="Heading1"/>
      </w:pPr>
      <w:r>
        <w:t>6</w:t>
      </w:r>
      <w:r w:rsidR="004F42E0">
        <w:tab/>
        <w:t>References</w:t>
      </w:r>
    </w:p>
    <w:tbl>
      <w:tblPr>
        <w:tblW w:w="9930" w:type="dxa"/>
        <w:tblInd w:w="-152" w:type="dxa"/>
        <w:tblLayout w:type="fixed"/>
        <w:tblLook w:val="04A0" w:firstRow="1" w:lastRow="0" w:firstColumn="1" w:lastColumn="0" w:noHBand="0" w:noVBand="1"/>
      </w:tblPr>
      <w:tblGrid>
        <w:gridCol w:w="1132"/>
        <w:gridCol w:w="4231"/>
        <w:gridCol w:w="4567"/>
      </w:tblGrid>
      <w:tr w:rsidR="00C775C4" w14:paraId="39F2E8A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DAB3945" w14:textId="77777777" w:rsidR="00C775C4" w:rsidRDefault="00984B65">
            <w:pPr>
              <w:widowControl w:val="0"/>
              <w:ind w:left="144" w:hanging="144"/>
              <w:rPr>
                <w:rFonts w:ascii="Calibri" w:hAnsi="Calibri" w:cs="Calibri"/>
                <w:sz w:val="18"/>
                <w:szCs w:val="24"/>
                <w:highlight w:val="yellow"/>
              </w:rPr>
            </w:pPr>
            <w:hyperlink r:id="rId8" w:history="1">
              <w:r w:rsidR="004F42E0">
                <w:rPr>
                  <w:rFonts w:ascii="Calibri" w:hAnsi="Calibri" w:cs="Calibri"/>
                  <w:sz w:val="18"/>
                  <w:szCs w:val="24"/>
                  <w:highlight w:val="yellow"/>
                </w:rPr>
                <w:t>R3-224242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CC10646" w14:textId="77777777" w:rsidR="00C775C4" w:rsidRDefault="004F42E0">
            <w:pPr>
              <w:widowControl w:val="0"/>
              <w:ind w:left="144" w:hanging="144"/>
              <w:rPr>
                <w:rFonts w:ascii="Calibri" w:hAnsi="Calibri" w:cs="Calibri"/>
                <w:sz w:val="18"/>
                <w:szCs w:val="24"/>
              </w:rPr>
            </w:pPr>
            <w:r>
              <w:rPr>
                <w:rFonts w:ascii="Calibri" w:hAnsi="Calibri" w:cs="Calibri"/>
                <w:sz w:val="18"/>
                <w:szCs w:val="24"/>
              </w:rPr>
              <w:t>On the handling of user consent for RLF/CEF cases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41A8F28" w14:textId="77777777" w:rsidR="00C775C4" w:rsidRDefault="004F42E0">
            <w:pPr>
              <w:widowControl w:val="0"/>
              <w:ind w:left="144" w:hanging="144"/>
              <w:rPr>
                <w:rFonts w:ascii="Calibri" w:hAnsi="Calibri" w:cs="Calibri"/>
                <w:sz w:val="18"/>
                <w:szCs w:val="24"/>
              </w:rPr>
            </w:pPr>
            <w:r>
              <w:rPr>
                <w:rFonts w:ascii="Calibri" w:hAnsi="Calibri" w:cs="Calibri"/>
                <w:sz w:val="18"/>
                <w:szCs w:val="24"/>
              </w:rPr>
              <w:t>discussion</w:t>
            </w:r>
          </w:p>
        </w:tc>
      </w:tr>
      <w:tr w:rsidR="00C775C4" w14:paraId="490121F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6D4BAC5" w14:textId="77777777" w:rsidR="00C775C4" w:rsidRDefault="00984B65">
            <w:pPr>
              <w:widowControl w:val="0"/>
              <w:ind w:left="144" w:hanging="144"/>
              <w:rPr>
                <w:rFonts w:ascii="Calibri" w:hAnsi="Calibri" w:cs="Calibri"/>
                <w:sz w:val="18"/>
                <w:szCs w:val="24"/>
                <w:highlight w:val="yellow"/>
              </w:rPr>
            </w:pPr>
            <w:hyperlink r:id="rId9" w:history="1">
              <w:r w:rsidR="004F42E0">
                <w:rPr>
                  <w:rFonts w:ascii="Calibri" w:hAnsi="Calibri" w:cs="Calibri"/>
                  <w:sz w:val="18"/>
                  <w:szCs w:val="24"/>
                  <w:highlight w:val="yellow"/>
                </w:rPr>
                <w:t>R3-224400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1A0DD875" w14:textId="77777777" w:rsidR="00C775C4" w:rsidRDefault="004F42E0">
            <w:pPr>
              <w:widowControl w:val="0"/>
              <w:ind w:left="144" w:hanging="144"/>
              <w:rPr>
                <w:rFonts w:ascii="Calibri" w:hAnsi="Calibri" w:cs="Calibri"/>
                <w:sz w:val="18"/>
                <w:szCs w:val="24"/>
              </w:rPr>
            </w:pPr>
            <w:r>
              <w:rPr>
                <w:rFonts w:ascii="Calibri" w:hAnsi="Calibri" w:cs="Calibri"/>
                <w:sz w:val="18"/>
                <w:szCs w:val="24"/>
              </w:rPr>
              <w:t>Resolution of the issue of user consent for location in RLF/CEF (Apple)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035BF85" w14:textId="77777777" w:rsidR="00C775C4" w:rsidRDefault="004F42E0">
            <w:pPr>
              <w:widowControl w:val="0"/>
              <w:ind w:left="144" w:hanging="144"/>
              <w:rPr>
                <w:rFonts w:ascii="Calibri" w:hAnsi="Calibri" w:cs="Calibri"/>
                <w:sz w:val="18"/>
                <w:szCs w:val="24"/>
              </w:rPr>
            </w:pPr>
            <w:r>
              <w:rPr>
                <w:rFonts w:ascii="Calibri" w:hAnsi="Calibri" w:cs="Calibri"/>
                <w:sz w:val="18"/>
                <w:szCs w:val="24"/>
              </w:rPr>
              <w:t>discussion</w:t>
            </w:r>
          </w:p>
        </w:tc>
      </w:tr>
      <w:tr w:rsidR="00C775C4" w14:paraId="3C5E27F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B7FDF1C" w14:textId="77777777" w:rsidR="00C775C4" w:rsidRDefault="00984B65">
            <w:pPr>
              <w:widowControl w:val="0"/>
              <w:ind w:left="144" w:hanging="144"/>
              <w:rPr>
                <w:rFonts w:ascii="Calibri" w:hAnsi="Calibri" w:cs="Calibri"/>
                <w:sz w:val="18"/>
                <w:szCs w:val="24"/>
                <w:highlight w:val="yellow"/>
              </w:rPr>
            </w:pPr>
            <w:hyperlink r:id="rId10" w:history="1">
              <w:r w:rsidR="004F42E0">
                <w:rPr>
                  <w:rFonts w:ascii="Calibri" w:hAnsi="Calibri" w:cs="Calibri"/>
                  <w:sz w:val="18"/>
                  <w:szCs w:val="24"/>
                  <w:highlight w:val="yellow"/>
                </w:rPr>
                <w:t>R3-224401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39F16BC" w14:textId="77777777" w:rsidR="00C775C4" w:rsidRDefault="004F42E0">
            <w:pPr>
              <w:widowControl w:val="0"/>
              <w:ind w:left="144" w:hanging="144"/>
              <w:rPr>
                <w:rFonts w:ascii="Calibri" w:hAnsi="Calibri" w:cs="Calibri"/>
                <w:sz w:val="18"/>
                <w:szCs w:val="24"/>
              </w:rPr>
            </w:pPr>
            <w:r>
              <w:rPr>
                <w:rFonts w:ascii="Calibri" w:hAnsi="Calibri" w:cs="Calibri"/>
                <w:sz w:val="18"/>
                <w:szCs w:val="24"/>
              </w:rPr>
              <w:t>User consent for location information in RLF/CEF – option 1 (TS 38.413) (Apple)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937CA72" w14:textId="77777777" w:rsidR="00C775C4" w:rsidRDefault="004F42E0">
            <w:pPr>
              <w:widowControl w:val="0"/>
              <w:ind w:left="144" w:hanging="144"/>
              <w:rPr>
                <w:rFonts w:ascii="Calibri" w:hAnsi="Calibri" w:cs="Calibri"/>
                <w:sz w:val="18"/>
                <w:szCs w:val="24"/>
              </w:rPr>
            </w:pPr>
            <w:r>
              <w:rPr>
                <w:rFonts w:ascii="Calibri" w:hAnsi="Calibri" w:cs="Calibri"/>
                <w:sz w:val="18"/>
                <w:szCs w:val="24"/>
              </w:rPr>
              <w:t>CR0860r, TS 38.413 v17.1.1, Rel-17, Cat. F</w:t>
            </w:r>
          </w:p>
        </w:tc>
      </w:tr>
      <w:tr w:rsidR="00C775C4" w14:paraId="78765673"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330238C" w14:textId="77777777" w:rsidR="00C775C4" w:rsidRDefault="00984B65">
            <w:pPr>
              <w:widowControl w:val="0"/>
              <w:ind w:left="144" w:hanging="144"/>
              <w:rPr>
                <w:rFonts w:ascii="Calibri" w:hAnsi="Calibri" w:cs="Calibri"/>
                <w:sz w:val="18"/>
                <w:szCs w:val="24"/>
                <w:highlight w:val="yellow"/>
              </w:rPr>
            </w:pPr>
            <w:hyperlink r:id="rId11" w:history="1">
              <w:r w:rsidR="004F42E0">
                <w:rPr>
                  <w:rFonts w:ascii="Calibri" w:hAnsi="Calibri" w:cs="Calibri"/>
                  <w:sz w:val="18"/>
                  <w:szCs w:val="24"/>
                  <w:highlight w:val="yellow"/>
                </w:rPr>
                <w:t>R3-224402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8D06C27" w14:textId="77777777" w:rsidR="00C775C4" w:rsidRDefault="004F42E0">
            <w:pPr>
              <w:widowControl w:val="0"/>
              <w:ind w:left="144" w:hanging="144"/>
              <w:rPr>
                <w:rFonts w:ascii="Calibri" w:hAnsi="Calibri" w:cs="Calibri"/>
                <w:sz w:val="18"/>
                <w:szCs w:val="24"/>
              </w:rPr>
            </w:pPr>
            <w:r>
              <w:rPr>
                <w:rFonts w:ascii="Calibri" w:hAnsi="Calibri" w:cs="Calibri"/>
                <w:sz w:val="18"/>
                <w:szCs w:val="24"/>
              </w:rPr>
              <w:t>User consent for location information in RLF/CEF – option 1 (TS 38.423) (Apple)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ED1FA26" w14:textId="77777777" w:rsidR="00C775C4" w:rsidRDefault="004F42E0">
            <w:pPr>
              <w:widowControl w:val="0"/>
              <w:ind w:left="144" w:hanging="144"/>
              <w:rPr>
                <w:rFonts w:ascii="Calibri" w:hAnsi="Calibri" w:cs="Calibri"/>
                <w:sz w:val="18"/>
                <w:szCs w:val="24"/>
              </w:rPr>
            </w:pPr>
            <w:r>
              <w:rPr>
                <w:rFonts w:ascii="Calibri" w:hAnsi="Calibri" w:cs="Calibri"/>
                <w:sz w:val="18"/>
                <w:szCs w:val="24"/>
              </w:rPr>
              <w:t>CR0861r, TS 38.423 v17.1.0, Rel-17, Cat. F</w:t>
            </w:r>
          </w:p>
        </w:tc>
      </w:tr>
      <w:tr w:rsidR="00C775C4" w14:paraId="780315A1"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EDF6107" w14:textId="77777777" w:rsidR="00C775C4" w:rsidRDefault="00984B65">
            <w:pPr>
              <w:widowControl w:val="0"/>
              <w:ind w:left="144" w:hanging="144"/>
              <w:rPr>
                <w:rFonts w:ascii="Calibri" w:hAnsi="Calibri" w:cs="Calibri"/>
                <w:sz w:val="18"/>
                <w:szCs w:val="24"/>
                <w:highlight w:val="yellow"/>
              </w:rPr>
            </w:pPr>
            <w:hyperlink r:id="rId12" w:history="1">
              <w:r w:rsidR="004F42E0">
                <w:rPr>
                  <w:rFonts w:ascii="Calibri" w:hAnsi="Calibri" w:cs="Calibri"/>
                  <w:sz w:val="18"/>
                  <w:szCs w:val="24"/>
                  <w:highlight w:val="yellow"/>
                </w:rPr>
                <w:t>R3-224403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A9A2F13" w14:textId="77777777" w:rsidR="00C775C4" w:rsidRDefault="004F42E0">
            <w:pPr>
              <w:widowControl w:val="0"/>
              <w:ind w:left="144" w:hanging="144"/>
              <w:rPr>
                <w:rFonts w:ascii="Calibri" w:hAnsi="Calibri" w:cs="Calibri"/>
                <w:sz w:val="18"/>
                <w:szCs w:val="24"/>
              </w:rPr>
            </w:pPr>
            <w:r>
              <w:rPr>
                <w:rFonts w:ascii="Calibri" w:hAnsi="Calibri" w:cs="Calibri"/>
                <w:sz w:val="18"/>
                <w:szCs w:val="24"/>
              </w:rPr>
              <w:t>User consent for location information in RLF/CEF – option 2 (TS 38.413) (Apple)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80CA42C" w14:textId="77777777" w:rsidR="00C775C4" w:rsidRDefault="004F42E0">
            <w:pPr>
              <w:widowControl w:val="0"/>
              <w:ind w:left="144" w:hanging="144"/>
              <w:rPr>
                <w:rFonts w:ascii="Calibri" w:hAnsi="Calibri" w:cs="Calibri"/>
                <w:sz w:val="18"/>
                <w:szCs w:val="24"/>
              </w:rPr>
            </w:pPr>
            <w:r>
              <w:rPr>
                <w:rFonts w:ascii="Calibri" w:hAnsi="Calibri" w:cs="Calibri"/>
                <w:sz w:val="18"/>
                <w:szCs w:val="24"/>
              </w:rPr>
              <w:t>CR0861r, TS 38.413 v17.1.1, Rel-17, Cat. F</w:t>
            </w:r>
          </w:p>
        </w:tc>
      </w:tr>
      <w:tr w:rsidR="00C775C4" w14:paraId="22DBE1B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961C60A" w14:textId="77777777" w:rsidR="00C775C4" w:rsidRDefault="00984B65">
            <w:pPr>
              <w:widowControl w:val="0"/>
              <w:ind w:left="144" w:hanging="144"/>
              <w:rPr>
                <w:rFonts w:ascii="Calibri" w:hAnsi="Calibri" w:cs="Calibri"/>
                <w:sz w:val="18"/>
                <w:szCs w:val="24"/>
                <w:highlight w:val="yellow"/>
              </w:rPr>
            </w:pPr>
            <w:hyperlink r:id="rId13" w:history="1">
              <w:r w:rsidR="004F42E0">
                <w:rPr>
                  <w:rFonts w:ascii="Calibri" w:hAnsi="Calibri" w:cs="Calibri"/>
                  <w:sz w:val="18"/>
                  <w:szCs w:val="24"/>
                  <w:highlight w:val="yellow"/>
                </w:rPr>
                <w:t>R3-224404</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6F72D8C" w14:textId="77777777" w:rsidR="00C775C4" w:rsidRDefault="004F42E0">
            <w:pPr>
              <w:widowControl w:val="0"/>
              <w:ind w:left="144" w:hanging="144"/>
              <w:rPr>
                <w:rFonts w:ascii="Calibri" w:hAnsi="Calibri" w:cs="Calibri"/>
                <w:sz w:val="18"/>
                <w:szCs w:val="24"/>
              </w:rPr>
            </w:pPr>
            <w:r>
              <w:rPr>
                <w:rFonts w:ascii="Calibri" w:hAnsi="Calibri" w:cs="Calibri"/>
                <w:sz w:val="18"/>
                <w:szCs w:val="24"/>
              </w:rPr>
              <w:t>User consent for location information in RLF/CEF – option 2 (TS 38.423) (Apple)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39B2B5F" w14:textId="77777777" w:rsidR="00C775C4" w:rsidRDefault="004F42E0">
            <w:pPr>
              <w:widowControl w:val="0"/>
              <w:ind w:left="144" w:hanging="144"/>
              <w:rPr>
                <w:rFonts w:ascii="Calibri" w:hAnsi="Calibri" w:cs="Calibri"/>
                <w:sz w:val="18"/>
                <w:szCs w:val="24"/>
              </w:rPr>
            </w:pPr>
            <w:r>
              <w:rPr>
                <w:rFonts w:ascii="Calibri" w:hAnsi="Calibri" w:cs="Calibri"/>
                <w:sz w:val="18"/>
                <w:szCs w:val="24"/>
              </w:rPr>
              <w:t>CR0862r, TS 38.423 v17.1.0, Rel-17, Cat. F</w:t>
            </w:r>
          </w:p>
        </w:tc>
      </w:tr>
      <w:tr w:rsidR="00C775C4" w14:paraId="1B28EDE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86EC2E1" w14:textId="77777777" w:rsidR="00C775C4" w:rsidRDefault="00984B65">
            <w:pPr>
              <w:widowControl w:val="0"/>
              <w:ind w:left="144" w:hanging="144"/>
              <w:rPr>
                <w:rFonts w:ascii="Calibri" w:hAnsi="Calibri" w:cs="Calibri"/>
                <w:sz w:val="18"/>
                <w:szCs w:val="24"/>
                <w:highlight w:val="yellow"/>
              </w:rPr>
            </w:pPr>
            <w:hyperlink r:id="rId14" w:history="1">
              <w:r w:rsidR="004F42E0">
                <w:rPr>
                  <w:rFonts w:ascii="Calibri" w:hAnsi="Calibri" w:cs="Calibri"/>
                  <w:sz w:val="18"/>
                  <w:szCs w:val="24"/>
                  <w:highlight w:val="yellow"/>
                </w:rPr>
                <w:t>R3-224405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C3721AE" w14:textId="77777777" w:rsidR="00C775C4" w:rsidRDefault="004F42E0">
            <w:pPr>
              <w:widowControl w:val="0"/>
              <w:ind w:left="144" w:hanging="144"/>
              <w:rPr>
                <w:rFonts w:ascii="Calibri" w:hAnsi="Calibri" w:cs="Calibri"/>
                <w:sz w:val="18"/>
                <w:szCs w:val="24"/>
              </w:rPr>
            </w:pPr>
            <w:r>
              <w:rPr>
                <w:rFonts w:ascii="Calibri" w:hAnsi="Calibri" w:cs="Calibri"/>
                <w:sz w:val="18"/>
                <w:szCs w:val="24"/>
              </w:rPr>
              <w:t>[DRAFT] Reply LS on the user consent for trace reporting (Apple)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A13F849" w14:textId="77777777" w:rsidR="00C775C4" w:rsidRDefault="004F42E0">
            <w:pPr>
              <w:widowControl w:val="0"/>
              <w:ind w:left="144" w:hanging="144"/>
              <w:rPr>
                <w:rFonts w:ascii="Calibri" w:hAnsi="Calibri" w:cs="Calibri"/>
                <w:sz w:val="18"/>
                <w:szCs w:val="24"/>
              </w:rPr>
            </w:pPr>
            <w:r>
              <w:rPr>
                <w:rFonts w:ascii="Calibri" w:hAnsi="Calibri" w:cs="Calibri"/>
                <w:sz w:val="18"/>
                <w:szCs w:val="24"/>
              </w:rPr>
              <w:t xml:space="preserve">LS out </w:t>
            </w:r>
            <w:proofErr w:type="gramStart"/>
            <w:r>
              <w:rPr>
                <w:rFonts w:ascii="Calibri" w:hAnsi="Calibri" w:cs="Calibri"/>
                <w:sz w:val="18"/>
                <w:szCs w:val="24"/>
              </w:rPr>
              <w:t>To</w:t>
            </w:r>
            <w:proofErr w:type="gramEnd"/>
            <w:r>
              <w:rPr>
                <w:rFonts w:ascii="Calibri" w:hAnsi="Calibri" w:cs="Calibri"/>
                <w:sz w:val="18"/>
                <w:szCs w:val="24"/>
              </w:rPr>
              <w:t>: SA3 CC: RAN, RAN2, SA5</w:t>
            </w:r>
          </w:p>
        </w:tc>
      </w:tr>
      <w:tr w:rsidR="00C775C4" w14:paraId="5609AEA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C3B612E" w14:textId="77777777" w:rsidR="00C775C4" w:rsidRDefault="00984B65">
            <w:pPr>
              <w:widowControl w:val="0"/>
              <w:ind w:left="144" w:hanging="144"/>
              <w:rPr>
                <w:rFonts w:ascii="Calibri" w:hAnsi="Calibri" w:cs="Calibri"/>
                <w:sz w:val="18"/>
                <w:szCs w:val="24"/>
                <w:highlight w:val="yellow"/>
              </w:rPr>
            </w:pPr>
            <w:hyperlink r:id="rId15" w:history="1">
              <w:r w:rsidR="004F42E0">
                <w:rPr>
                  <w:rFonts w:ascii="Calibri" w:hAnsi="Calibri" w:cs="Calibri"/>
                  <w:sz w:val="18"/>
                  <w:szCs w:val="24"/>
                  <w:highlight w:val="yellow"/>
                </w:rPr>
                <w:t>R3-224573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D0BE645" w14:textId="77777777" w:rsidR="00C775C4" w:rsidRDefault="004F42E0">
            <w:pPr>
              <w:widowControl w:val="0"/>
              <w:ind w:left="144" w:hanging="144"/>
              <w:rPr>
                <w:rFonts w:ascii="Calibri" w:hAnsi="Calibri" w:cs="Calibri"/>
                <w:sz w:val="18"/>
                <w:szCs w:val="24"/>
              </w:rPr>
            </w:pPr>
            <w:r>
              <w:rPr>
                <w:rFonts w:ascii="Calibri" w:hAnsi="Calibri" w:cs="Calibri"/>
                <w:sz w:val="18"/>
                <w:szCs w:val="24"/>
              </w:rPr>
              <w:t>Way forward on user consent (Ericsson, TIM)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C8DC6A0" w14:textId="77777777" w:rsidR="00C775C4" w:rsidRDefault="004F42E0">
            <w:pPr>
              <w:widowControl w:val="0"/>
              <w:ind w:left="144" w:hanging="144"/>
              <w:rPr>
                <w:rFonts w:ascii="Calibri" w:hAnsi="Calibri" w:cs="Calibri"/>
                <w:sz w:val="18"/>
                <w:szCs w:val="24"/>
              </w:rPr>
            </w:pPr>
            <w:r>
              <w:rPr>
                <w:rFonts w:ascii="Calibri" w:hAnsi="Calibri" w:cs="Calibri"/>
                <w:sz w:val="18"/>
                <w:szCs w:val="24"/>
              </w:rPr>
              <w:t>discussion</w:t>
            </w:r>
          </w:p>
        </w:tc>
      </w:tr>
      <w:tr w:rsidR="00C775C4" w14:paraId="7F9CFD4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C7D53C5" w14:textId="77777777" w:rsidR="00C775C4" w:rsidRDefault="00984B65">
            <w:pPr>
              <w:widowControl w:val="0"/>
              <w:ind w:left="144" w:hanging="144"/>
              <w:rPr>
                <w:rFonts w:ascii="Calibri" w:hAnsi="Calibri" w:cs="Calibri"/>
                <w:sz w:val="18"/>
                <w:szCs w:val="24"/>
                <w:highlight w:val="yellow"/>
              </w:rPr>
            </w:pPr>
            <w:hyperlink r:id="rId16" w:history="1">
              <w:r w:rsidR="004F42E0">
                <w:rPr>
                  <w:rFonts w:ascii="Calibri" w:hAnsi="Calibri" w:cs="Calibri"/>
                  <w:sz w:val="18"/>
                  <w:szCs w:val="24"/>
                  <w:highlight w:val="yellow"/>
                </w:rPr>
                <w:t>R3-224679</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F037B03" w14:textId="77777777" w:rsidR="00C775C4" w:rsidRDefault="004F42E0">
            <w:pPr>
              <w:widowControl w:val="0"/>
              <w:ind w:left="144" w:hanging="144"/>
              <w:rPr>
                <w:rFonts w:ascii="Calibri" w:hAnsi="Calibri" w:cs="Calibri"/>
                <w:sz w:val="18"/>
                <w:szCs w:val="24"/>
              </w:rPr>
            </w:pPr>
            <w:r>
              <w:rPr>
                <w:rFonts w:ascii="Calibri" w:hAnsi="Calibri" w:cs="Calibri"/>
                <w:sz w:val="18"/>
                <w:szCs w:val="24"/>
              </w:rPr>
              <w:t>Discussion on user consent for UE location information (CRs and draft reply LS included) (Huawei, Orange)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393291C" w14:textId="77777777" w:rsidR="00C775C4" w:rsidRDefault="004F42E0">
            <w:pPr>
              <w:widowControl w:val="0"/>
              <w:ind w:left="144" w:hanging="144"/>
              <w:rPr>
                <w:rFonts w:ascii="Calibri" w:hAnsi="Calibri" w:cs="Calibri"/>
                <w:sz w:val="18"/>
                <w:szCs w:val="24"/>
              </w:rPr>
            </w:pPr>
            <w:r>
              <w:rPr>
                <w:rFonts w:ascii="Calibri" w:hAnsi="Calibri" w:cs="Calibri"/>
                <w:sz w:val="18"/>
                <w:szCs w:val="24"/>
              </w:rPr>
              <w:t>discussion</w:t>
            </w:r>
          </w:p>
        </w:tc>
      </w:tr>
    </w:tbl>
    <w:p w14:paraId="44AE3C8D" w14:textId="77777777" w:rsidR="00C775C4" w:rsidRDefault="00C775C4"/>
    <w:p w14:paraId="6B55D572" w14:textId="77777777" w:rsidR="00C775C4" w:rsidRDefault="00C775C4"/>
    <w:p w14:paraId="56EA69A7" w14:textId="77777777" w:rsidR="00C775C4" w:rsidRDefault="00C775C4"/>
    <w:sectPr w:rsidR="00C775C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BA79E" w14:textId="77777777" w:rsidR="00984B65" w:rsidRDefault="00984B65" w:rsidP="009C7469">
      <w:pPr>
        <w:spacing w:after="0" w:line="240" w:lineRule="auto"/>
      </w:pPr>
      <w:r>
        <w:separator/>
      </w:r>
    </w:p>
  </w:endnote>
  <w:endnote w:type="continuationSeparator" w:id="0">
    <w:p w14:paraId="07B22C40" w14:textId="77777777" w:rsidR="00984B65" w:rsidRDefault="00984B65" w:rsidP="009C74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7F1F0" w14:textId="77777777" w:rsidR="00984B65" w:rsidRDefault="00984B65" w:rsidP="009C7469">
      <w:pPr>
        <w:spacing w:after="0" w:line="240" w:lineRule="auto"/>
      </w:pPr>
      <w:r>
        <w:separator/>
      </w:r>
    </w:p>
  </w:footnote>
  <w:footnote w:type="continuationSeparator" w:id="0">
    <w:p w14:paraId="367CD898" w14:textId="77777777" w:rsidR="00984B65" w:rsidRDefault="00984B65" w:rsidP="009C746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C4162"/>
    <w:multiLevelType w:val="multilevel"/>
    <w:tmpl w:val="09AC41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B825888"/>
    <w:multiLevelType w:val="multilevel"/>
    <w:tmpl w:val="2B8258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2262421"/>
    <w:multiLevelType w:val="multilevel"/>
    <w:tmpl w:val="322624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A321CA5"/>
    <w:multiLevelType w:val="multilevel"/>
    <w:tmpl w:val="7A321CA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7F7F79A5"/>
    <w:multiLevelType w:val="multilevel"/>
    <w:tmpl w:val="7F7F79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proofState w:spelling="clean" w:grammar="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64F9EC84-65CB-4D38-9F6A-CD1C38ED5722}"/>
    <w:docVar w:name="dgnword-eventsink" w:val="2368805745792"/>
  </w:docVars>
  <w:rsids>
    <w:rsidRoot w:val="000B7BCF"/>
    <w:rsid w:val="0001455A"/>
    <w:rsid w:val="000165F7"/>
    <w:rsid w:val="00021F81"/>
    <w:rsid w:val="0002711B"/>
    <w:rsid w:val="00033397"/>
    <w:rsid w:val="00033A30"/>
    <w:rsid w:val="000342C7"/>
    <w:rsid w:val="00037B6B"/>
    <w:rsid w:val="00037D77"/>
    <w:rsid w:val="00040095"/>
    <w:rsid w:val="000421A8"/>
    <w:rsid w:val="00042D7E"/>
    <w:rsid w:val="00051B33"/>
    <w:rsid w:val="0005563E"/>
    <w:rsid w:val="00073E38"/>
    <w:rsid w:val="00080512"/>
    <w:rsid w:val="00083F0D"/>
    <w:rsid w:val="00094079"/>
    <w:rsid w:val="00095EB8"/>
    <w:rsid w:val="000B3128"/>
    <w:rsid w:val="000B7BCF"/>
    <w:rsid w:val="000C3303"/>
    <w:rsid w:val="000C44BC"/>
    <w:rsid w:val="000C556D"/>
    <w:rsid w:val="000C74F0"/>
    <w:rsid w:val="000D376D"/>
    <w:rsid w:val="000D58AB"/>
    <w:rsid w:val="00104354"/>
    <w:rsid w:val="001075B7"/>
    <w:rsid w:val="00117702"/>
    <w:rsid w:val="00120DF1"/>
    <w:rsid w:val="001370F2"/>
    <w:rsid w:val="00137FFE"/>
    <w:rsid w:val="00151B8F"/>
    <w:rsid w:val="001549DD"/>
    <w:rsid w:val="001567F5"/>
    <w:rsid w:val="00161C94"/>
    <w:rsid w:val="00166FE2"/>
    <w:rsid w:val="00170454"/>
    <w:rsid w:val="00174B9D"/>
    <w:rsid w:val="00194CD0"/>
    <w:rsid w:val="00196911"/>
    <w:rsid w:val="001A33CB"/>
    <w:rsid w:val="001A7132"/>
    <w:rsid w:val="001B08B3"/>
    <w:rsid w:val="001B648C"/>
    <w:rsid w:val="001C4281"/>
    <w:rsid w:val="001C4FED"/>
    <w:rsid w:val="001D0D3F"/>
    <w:rsid w:val="001D4755"/>
    <w:rsid w:val="001F168B"/>
    <w:rsid w:val="001F4602"/>
    <w:rsid w:val="001F70B7"/>
    <w:rsid w:val="002033E3"/>
    <w:rsid w:val="00210B01"/>
    <w:rsid w:val="0022021F"/>
    <w:rsid w:val="0022606D"/>
    <w:rsid w:val="002305DD"/>
    <w:rsid w:val="00241E1C"/>
    <w:rsid w:val="00243BC7"/>
    <w:rsid w:val="002623FC"/>
    <w:rsid w:val="0026286F"/>
    <w:rsid w:val="0026614D"/>
    <w:rsid w:val="00273F74"/>
    <w:rsid w:val="002747EC"/>
    <w:rsid w:val="002855BF"/>
    <w:rsid w:val="00285C89"/>
    <w:rsid w:val="0029774E"/>
    <w:rsid w:val="002A763A"/>
    <w:rsid w:val="002C1616"/>
    <w:rsid w:val="002D47BC"/>
    <w:rsid w:val="002E0588"/>
    <w:rsid w:val="002E1692"/>
    <w:rsid w:val="002F0D22"/>
    <w:rsid w:val="002F0E09"/>
    <w:rsid w:val="002F2EE2"/>
    <w:rsid w:val="002F3137"/>
    <w:rsid w:val="00303B58"/>
    <w:rsid w:val="00307CAC"/>
    <w:rsid w:val="00311198"/>
    <w:rsid w:val="00312AC3"/>
    <w:rsid w:val="003172DC"/>
    <w:rsid w:val="0032043B"/>
    <w:rsid w:val="00326069"/>
    <w:rsid w:val="00342948"/>
    <w:rsid w:val="00343F23"/>
    <w:rsid w:val="003454FC"/>
    <w:rsid w:val="00351901"/>
    <w:rsid w:val="003530E0"/>
    <w:rsid w:val="003541CA"/>
    <w:rsid w:val="00354584"/>
    <w:rsid w:val="0035462D"/>
    <w:rsid w:val="0036200A"/>
    <w:rsid w:val="00363177"/>
    <w:rsid w:val="00365E19"/>
    <w:rsid w:val="00376370"/>
    <w:rsid w:val="00377FEE"/>
    <w:rsid w:val="003866BF"/>
    <w:rsid w:val="003A17EE"/>
    <w:rsid w:val="003A4AA2"/>
    <w:rsid w:val="003A6A90"/>
    <w:rsid w:val="003B35C2"/>
    <w:rsid w:val="003B3FB3"/>
    <w:rsid w:val="003B4020"/>
    <w:rsid w:val="003C4E37"/>
    <w:rsid w:val="003C5FC8"/>
    <w:rsid w:val="003E16BE"/>
    <w:rsid w:val="003E7223"/>
    <w:rsid w:val="003E7B03"/>
    <w:rsid w:val="003F4C3D"/>
    <w:rsid w:val="00401855"/>
    <w:rsid w:val="00402B4A"/>
    <w:rsid w:val="004169A9"/>
    <w:rsid w:val="00421F3C"/>
    <w:rsid w:val="00424562"/>
    <w:rsid w:val="00432942"/>
    <w:rsid w:val="0043332E"/>
    <w:rsid w:val="00434732"/>
    <w:rsid w:val="00436258"/>
    <w:rsid w:val="00441B10"/>
    <w:rsid w:val="00455FD3"/>
    <w:rsid w:val="00464695"/>
    <w:rsid w:val="00482281"/>
    <w:rsid w:val="004C6865"/>
    <w:rsid w:val="004D0C34"/>
    <w:rsid w:val="004D257A"/>
    <w:rsid w:val="004D3578"/>
    <w:rsid w:val="004D380D"/>
    <w:rsid w:val="004D3F58"/>
    <w:rsid w:val="004D5324"/>
    <w:rsid w:val="004D5E47"/>
    <w:rsid w:val="004E1BFA"/>
    <w:rsid w:val="004E213A"/>
    <w:rsid w:val="004E21FC"/>
    <w:rsid w:val="004F0B3B"/>
    <w:rsid w:val="004F419B"/>
    <w:rsid w:val="004F42E0"/>
    <w:rsid w:val="00503171"/>
    <w:rsid w:val="00514934"/>
    <w:rsid w:val="005153FE"/>
    <w:rsid w:val="00515C0B"/>
    <w:rsid w:val="00522466"/>
    <w:rsid w:val="005240A4"/>
    <w:rsid w:val="00533A7D"/>
    <w:rsid w:val="00534DA0"/>
    <w:rsid w:val="00540975"/>
    <w:rsid w:val="00540B31"/>
    <w:rsid w:val="00543E6C"/>
    <w:rsid w:val="00544635"/>
    <w:rsid w:val="00544AA0"/>
    <w:rsid w:val="00550B68"/>
    <w:rsid w:val="00565087"/>
    <w:rsid w:val="0056573F"/>
    <w:rsid w:val="00565BE9"/>
    <w:rsid w:val="00571CE2"/>
    <w:rsid w:val="0057368E"/>
    <w:rsid w:val="00582E0B"/>
    <w:rsid w:val="0058672E"/>
    <w:rsid w:val="005A4971"/>
    <w:rsid w:val="005B1232"/>
    <w:rsid w:val="005B1D73"/>
    <w:rsid w:val="005B2EEF"/>
    <w:rsid w:val="005B79D2"/>
    <w:rsid w:val="005D2318"/>
    <w:rsid w:val="005D4274"/>
    <w:rsid w:val="00605D08"/>
    <w:rsid w:val="00605E3E"/>
    <w:rsid w:val="00606B15"/>
    <w:rsid w:val="00606DA9"/>
    <w:rsid w:val="00610798"/>
    <w:rsid w:val="00611566"/>
    <w:rsid w:val="00611D87"/>
    <w:rsid w:val="00616721"/>
    <w:rsid w:val="00631E61"/>
    <w:rsid w:val="0064534A"/>
    <w:rsid w:val="00656E1E"/>
    <w:rsid w:val="006604E4"/>
    <w:rsid w:val="00696CA4"/>
    <w:rsid w:val="00697730"/>
    <w:rsid w:val="006B5DEC"/>
    <w:rsid w:val="006C54B5"/>
    <w:rsid w:val="006D0816"/>
    <w:rsid w:val="006D0EAD"/>
    <w:rsid w:val="006D1E24"/>
    <w:rsid w:val="006D3285"/>
    <w:rsid w:val="006E6555"/>
    <w:rsid w:val="006F26F8"/>
    <w:rsid w:val="006F6648"/>
    <w:rsid w:val="00702E82"/>
    <w:rsid w:val="007045F3"/>
    <w:rsid w:val="00720FA4"/>
    <w:rsid w:val="00723DBD"/>
    <w:rsid w:val="00726750"/>
    <w:rsid w:val="00730FE7"/>
    <w:rsid w:val="00731C31"/>
    <w:rsid w:val="00734A5B"/>
    <w:rsid w:val="00734C4A"/>
    <w:rsid w:val="00735BB3"/>
    <w:rsid w:val="00737AEF"/>
    <w:rsid w:val="00742B74"/>
    <w:rsid w:val="00743525"/>
    <w:rsid w:val="00744E76"/>
    <w:rsid w:val="007476DB"/>
    <w:rsid w:val="007479F2"/>
    <w:rsid w:val="00757D40"/>
    <w:rsid w:val="00763A56"/>
    <w:rsid w:val="007644A2"/>
    <w:rsid w:val="00774846"/>
    <w:rsid w:val="00776E02"/>
    <w:rsid w:val="00781F0F"/>
    <w:rsid w:val="007835BD"/>
    <w:rsid w:val="0078727C"/>
    <w:rsid w:val="00795BA8"/>
    <w:rsid w:val="00797D4B"/>
    <w:rsid w:val="007B0A52"/>
    <w:rsid w:val="007B3DFD"/>
    <w:rsid w:val="007B46C8"/>
    <w:rsid w:val="007C095F"/>
    <w:rsid w:val="007C7CF3"/>
    <w:rsid w:val="007D0FE4"/>
    <w:rsid w:val="007D2A2B"/>
    <w:rsid w:val="007D5902"/>
    <w:rsid w:val="007E1AD5"/>
    <w:rsid w:val="007E3011"/>
    <w:rsid w:val="00802106"/>
    <w:rsid w:val="008028A4"/>
    <w:rsid w:val="00806520"/>
    <w:rsid w:val="00811048"/>
    <w:rsid w:val="00820825"/>
    <w:rsid w:val="008248F8"/>
    <w:rsid w:val="00830164"/>
    <w:rsid w:val="00833813"/>
    <w:rsid w:val="00835280"/>
    <w:rsid w:val="00840916"/>
    <w:rsid w:val="008520C6"/>
    <w:rsid w:val="00853EDD"/>
    <w:rsid w:val="008604EE"/>
    <w:rsid w:val="008631ED"/>
    <w:rsid w:val="008768CA"/>
    <w:rsid w:val="00880559"/>
    <w:rsid w:val="00887DEA"/>
    <w:rsid w:val="008A4D1A"/>
    <w:rsid w:val="008B11B3"/>
    <w:rsid w:val="008C2086"/>
    <w:rsid w:val="008C6102"/>
    <w:rsid w:val="008D3DFB"/>
    <w:rsid w:val="008E5A95"/>
    <w:rsid w:val="008E78E3"/>
    <w:rsid w:val="008F66B7"/>
    <w:rsid w:val="0090271F"/>
    <w:rsid w:val="009034FE"/>
    <w:rsid w:val="00903D8C"/>
    <w:rsid w:val="009108FE"/>
    <w:rsid w:val="00923030"/>
    <w:rsid w:val="00942EC2"/>
    <w:rsid w:val="00945298"/>
    <w:rsid w:val="00951B87"/>
    <w:rsid w:val="00954BCB"/>
    <w:rsid w:val="0095623D"/>
    <w:rsid w:val="00961B32"/>
    <w:rsid w:val="00962557"/>
    <w:rsid w:val="00971683"/>
    <w:rsid w:val="00972FD7"/>
    <w:rsid w:val="00973900"/>
    <w:rsid w:val="00974BB0"/>
    <w:rsid w:val="0098314E"/>
    <w:rsid w:val="00984B65"/>
    <w:rsid w:val="009A40F9"/>
    <w:rsid w:val="009A640C"/>
    <w:rsid w:val="009A6E4F"/>
    <w:rsid w:val="009B093C"/>
    <w:rsid w:val="009B220F"/>
    <w:rsid w:val="009C2CF1"/>
    <w:rsid w:val="009C4D5C"/>
    <w:rsid w:val="009C7469"/>
    <w:rsid w:val="009D0A28"/>
    <w:rsid w:val="009D120F"/>
    <w:rsid w:val="009D5627"/>
    <w:rsid w:val="009F3B54"/>
    <w:rsid w:val="009F4E65"/>
    <w:rsid w:val="009F7E6E"/>
    <w:rsid w:val="009F7F7D"/>
    <w:rsid w:val="00A10F02"/>
    <w:rsid w:val="00A14E77"/>
    <w:rsid w:val="00A16D30"/>
    <w:rsid w:val="00A23265"/>
    <w:rsid w:val="00A23E38"/>
    <w:rsid w:val="00A32D62"/>
    <w:rsid w:val="00A35777"/>
    <w:rsid w:val="00A4614D"/>
    <w:rsid w:val="00A5074A"/>
    <w:rsid w:val="00A53724"/>
    <w:rsid w:val="00A568D4"/>
    <w:rsid w:val="00A56A11"/>
    <w:rsid w:val="00A57970"/>
    <w:rsid w:val="00A62F66"/>
    <w:rsid w:val="00A64267"/>
    <w:rsid w:val="00A66B50"/>
    <w:rsid w:val="00A748F2"/>
    <w:rsid w:val="00A757F0"/>
    <w:rsid w:val="00A76B20"/>
    <w:rsid w:val="00A8137A"/>
    <w:rsid w:val="00A82346"/>
    <w:rsid w:val="00A8361A"/>
    <w:rsid w:val="00A9671C"/>
    <w:rsid w:val="00AB2AB4"/>
    <w:rsid w:val="00AB5D1B"/>
    <w:rsid w:val="00AB64D6"/>
    <w:rsid w:val="00AC6EE2"/>
    <w:rsid w:val="00AD4BCF"/>
    <w:rsid w:val="00AD6D09"/>
    <w:rsid w:val="00AF78D5"/>
    <w:rsid w:val="00B04CB4"/>
    <w:rsid w:val="00B1063A"/>
    <w:rsid w:val="00B15449"/>
    <w:rsid w:val="00B25902"/>
    <w:rsid w:val="00B26C28"/>
    <w:rsid w:val="00B33634"/>
    <w:rsid w:val="00B3770B"/>
    <w:rsid w:val="00B40B61"/>
    <w:rsid w:val="00B4178D"/>
    <w:rsid w:val="00B570BD"/>
    <w:rsid w:val="00B62913"/>
    <w:rsid w:val="00B62BAC"/>
    <w:rsid w:val="00B6579E"/>
    <w:rsid w:val="00B9443C"/>
    <w:rsid w:val="00B94673"/>
    <w:rsid w:val="00B9781E"/>
    <w:rsid w:val="00BA0EE1"/>
    <w:rsid w:val="00BA7641"/>
    <w:rsid w:val="00BC3137"/>
    <w:rsid w:val="00BC551D"/>
    <w:rsid w:val="00BD71BD"/>
    <w:rsid w:val="00BE7257"/>
    <w:rsid w:val="00BF79F1"/>
    <w:rsid w:val="00C03035"/>
    <w:rsid w:val="00C173AF"/>
    <w:rsid w:val="00C200E2"/>
    <w:rsid w:val="00C2726D"/>
    <w:rsid w:val="00C33079"/>
    <w:rsid w:val="00C33BDC"/>
    <w:rsid w:val="00C36FC1"/>
    <w:rsid w:val="00C43B31"/>
    <w:rsid w:val="00C4426C"/>
    <w:rsid w:val="00C44A68"/>
    <w:rsid w:val="00C67CEF"/>
    <w:rsid w:val="00C7351C"/>
    <w:rsid w:val="00C775C4"/>
    <w:rsid w:val="00C81103"/>
    <w:rsid w:val="00CA17FA"/>
    <w:rsid w:val="00CA3D0C"/>
    <w:rsid w:val="00CA6BA1"/>
    <w:rsid w:val="00CA74ED"/>
    <w:rsid w:val="00CA7B7E"/>
    <w:rsid w:val="00CB5311"/>
    <w:rsid w:val="00CB6651"/>
    <w:rsid w:val="00CB6887"/>
    <w:rsid w:val="00CC3E4E"/>
    <w:rsid w:val="00CC48A3"/>
    <w:rsid w:val="00CD4C7B"/>
    <w:rsid w:val="00CD65A2"/>
    <w:rsid w:val="00CD6A65"/>
    <w:rsid w:val="00CD71AD"/>
    <w:rsid w:val="00CE4F0B"/>
    <w:rsid w:val="00CF129A"/>
    <w:rsid w:val="00CF3237"/>
    <w:rsid w:val="00D01839"/>
    <w:rsid w:val="00D02110"/>
    <w:rsid w:val="00D03527"/>
    <w:rsid w:val="00D051C4"/>
    <w:rsid w:val="00D22038"/>
    <w:rsid w:val="00D31DA1"/>
    <w:rsid w:val="00D3626B"/>
    <w:rsid w:val="00D40B52"/>
    <w:rsid w:val="00D45301"/>
    <w:rsid w:val="00D45B7D"/>
    <w:rsid w:val="00D628F5"/>
    <w:rsid w:val="00D738D6"/>
    <w:rsid w:val="00D80795"/>
    <w:rsid w:val="00D80960"/>
    <w:rsid w:val="00D83A63"/>
    <w:rsid w:val="00D8557F"/>
    <w:rsid w:val="00D86917"/>
    <w:rsid w:val="00D87E00"/>
    <w:rsid w:val="00D9134D"/>
    <w:rsid w:val="00D91CE1"/>
    <w:rsid w:val="00D94C58"/>
    <w:rsid w:val="00D97CD9"/>
    <w:rsid w:val="00DA2DE9"/>
    <w:rsid w:val="00DA7A03"/>
    <w:rsid w:val="00DB1818"/>
    <w:rsid w:val="00DC0E1C"/>
    <w:rsid w:val="00DC0F93"/>
    <w:rsid w:val="00DC309B"/>
    <w:rsid w:val="00DC4DA2"/>
    <w:rsid w:val="00DD5B71"/>
    <w:rsid w:val="00DE1406"/>
    <w:rsid w:val="00DE522F"/>
    <w:rsid w:val="00DE6DA8"/>
    <w:rsid w:val="00DF0279"/>
    <w:rsid w:val="00DF4CCB"/>
    <w:rsid w:val="00E07317"/>
    <w:rsid w:val="00E07838"/>
    <w:rsid w:val="00E13320"/>
    <w:rsid w:val="00E205DF"/>
    <w:rsid w:val="00E23511"/>
    <w:rsid w:val="00E275C2"/>
    <w:rsid w:val="00E30D92"/>
    <w:rsid w:val="00E31929"/>
    <w:rsid w:val="00E340BC"/>
    <w:rsid w:val="00E3485E"/>
    <w:rsid w:val="00E4418E"/>
    <w:rsid w:val="00E47D4E"/>
    <w:rsid w:val="00E523DC"/>
    <w:rsid w:val="00E53C0C"/>
    <w:rsid w:val="00E54327"/>
    <w:rsid w:val="00E55662"/>
    <w:rsid w:val="00E62835"/>
    <w:rsid w:val="00E75A48"/>
    <w:rsid w:val="00E77645"/>
    <w:rsid w:val="00E8212B"/>
    <w:rsid w:val="00E828DA"/>
    <w:rsid w:val="00E852FF"/>
    <w:rsid w:val="00E859DD"/>
    <w:rsid w:val="00E90ABE"/>
    <w:rsid w:val="00E950D9"/>
    <w:rsid w:val="00E96065"/>
    <w:rsid w:val="00EA1F39"/>
    <w:rsid w:val="00EA22F8"/>
    <w:rsid w:val="00EB098B"/>
    <w:rsid w:val="00EB0C2C"/>
    <w:rsid w:val="00EB4497"/>
    <w:rsid w:val="00EC4A25"/>
    <w:rsid w:val="00ED5D5F"/>
    <w:rsid w:val="00EE0A1E"/>
    <w:rsid w:val="00EE7C69"/>
    <w:rsid w:val="00EF0D7B"/>
    <w:rsid w:val="00F025A2"/>
    <w:rsid w:val="00F034A3"/>
    <w:rsid w:val="00F12D7F"/>
    <w:rsid w:val="00F15AED"/>
    <w:rsid w:val="00F2026E"/>
    <w:rsid w:val="00F2210A"/>
    <w:rsid w:val="00F30962"/>
    <w:rsid w:val="00F33833"/>
    <w:rsid w:val="00F37743"/>
    <w:rsid w:val="00F402A8"/>
    <w:rsid w:val="00F414DB"/>
    <w:rsid w:val="00F50D0B"/>
    <w:rsid w:val="00F54A3D"/>
    <w:rsid w:val="00F653B8"/>
    <w:rsid w:val="00F7285E"/>
    <w:rsid w:val="00F76F8F"/>
    <w:rsid w:val="00F845EA"/>
    <w:rsid w:val="00F85014"/>
    <w:rsid w:val="00F91387"/>
    <w:rsid w:val="00F91F77"/>
    <w:rsid w:val="00F9283A"/>
    <w:rsid w:val="00F93650"/>
    <w:rsid w:val="00F93F5E"/>
    <w:rsid w:val="00F9410B"/>
    <w:rsid w:val="00F97FC5"/>
    <w:rsid w:val="00FA1266"/>
    <w:rsid w:val="00FA1CE0"/>
    <w:rsid w:val="00FB1D83"/>
    <w:rsid w:val="00FB2BEA"/>
    <w:rsid w:val="00FB5BF5"/>
    <w:rsid w:val="00FC1192"/>
    <w:rsid w:val="00FD05C5"/>
    <w:rsid w:val="00FD24FA"/>
    <w:rsid w:val="00FD7F9C"/>
    <w:rsid w:val="00FE2661"/>
    <w:rsid w:val="00FF4BAA"/>
    <w:rsid w:val="00FF5EF1"/>
    <w:rsid w:val="00FF7BCD"/>
    <w:rsid w:val="1B62284B"/>
    <w:rsid w:val="2C454179"/>
    <w:rsid w:val="400C6CC9"/>
    <w:rsid w:val="632F65DD"/>
    <w:rsid w:val="73E27097"/>
    <w:rsid w:val="7DED4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D08596"/>
  <w15:docId w15:val="{8994E436-E62C-4000-A8BB-B661033BC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fr-FR" w:eastAsia="fr-F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Typewriter"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2CF1"/>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qFormat/>
    <w:rPr>
      <w:b/>
      <w:bCs/>
    </w:rPr>
  </w:style>
  <w:style w:type="character" w:styleId="Hyperlink">
    <w:name w:val="Hyperlink"/>
    <w:rPr>
      <w:color w:val="0000FF"/>
      <w:u w:val="single"/>
    </w:rPr>
  </w:style>
  <w:style w:type="character" w:styleId="CommentReference">
    <w:name w:val="annotation reference"/>
    <w:qFormat/>
    <w:rPr>
      <w:sz w:val="21"/>
      <w:szCs w:val="21"/>
    </w:rPr>
  </w:style>
  <w:style w:type="paragraph" w:customStyle="1" w:styleId="EQ">
    <w:name w:val="EQ"/>
    <w:basedOn w:val="Normal"/>
    <w:next w:val="Normal"/>
    <w:qFormat/>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qFormat/>
  </w:style>
  <w:style w:type="paragraph" w:customStyle="1" w:styleId="Guidance">
    <w:name w:val="Guidance"/>
    <w:basedOn w:val="Normal"/>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Normal4">
    <w:name w:val="Normal4"/>
    <w:qFormat/>
    <w:pPr>
      <w:jc w:val="both"/>
    </w:pPr>
    <w:rPr>
      <w:rFonts w:ascii="Calibri" w:eastAsia="SimSun" w:hAnsi="Calibri" w:cs="Calibri"/>
      <w:kern w:val="2"/>
      <w:sz w:val="21"/>
      <w:szCs w:val="21"/>
      <w:lang w:val="en-US" w:eastAsia="zh-CN"/>
    </w:rPr>
  </w:style>
  <w:style w:type="character" w:customStyle="1" w:styleId="CommentTextChar">
    <w:name w:val="Comment Text Char"/>
    <w:link w:val="CommentText"/>
    <w:qFormat/>
    <w:rPr>
      <w:lang w:val="en-GB" w:eastAsia="en-US"/>
    </w:rPr>
  </w:style>
  <w:style w:type="character" w:customStyle="1" w:styleId="CommentSubjectChar">
    <w:name w:val="Comment Subject Char"/>
    <w:link w:val="CommentSubject"/>
    <w:qFormat/>
    <w:rPr>
      <w:b/>
      <w:bCs/>
      <w:lang w:val="en-GB" w:eastAsia="en-US"/>
    </w:rPr>
  </w:style>
  <w:style w:type="character" w:customStyle="1" w:styleId="BalloonTextChar">
    <w:name w:val="Balloon Text Char"/>
    <w:link w:val="BalloonText"/>
    <w:semiHidden/>
    <w:qFormat/>
    <w:rPr>
      <w:sz w:val="18"/>
      <w:szCs w:val="18"/>
      <w:lang w:val="en-GB" w:eastAsia="en-US"/>
    </w:rPr>
  </w:style>
  <w:style w:type="paragraph" w:customStyle="1" w:styleId="ReviewText">
    <w:name w:val="ReviewText"/>
    <w:basedOn w:val="Normal"/>
    <w:link w:val="ReviewTextChar"/>
    <w:qFormat/>
    <w:pPr>
      <w:overflowPunct w:val="0"/>
      <w:autoSpaceDE w:val="0"/>
      <w:autoSpaceDN w:val="0"/>
      <w:adjustRightInd w:val="0"/>
      <w:spacing w:after="80"/>
      <w:ind w:left="567"/>
      <w:textAlignment w:val="baseline"/>
    </w:pPr>
    <w:rPr>
      <w:rFonts w:ascii="Arial" w:eastAsia="Times New Roman" w:hAnsi="Arial"/>
      <w:lang w:eastAsia="zh-CN"/>
    </w:rPr>
  </w:style>
  <w:style w:type="character" w:customStyle="1" w:styleId="ReviewTextChar">
    <w:name w:val="ReviewText Char"/>
    <w:link w:val="ReviewText"/>
    <w:qFormat/>
    <w:rPr>
      <w:rFonts w:ascii="Arial" w:eastAsia="Times New Roman" w:hAnsi="Arial"/>
      <w:lang w:val="en-GB"/>
    </w:rPr>
  </w:style>
  <w:style w:type="paragraph" w:customStyle="1" w:styleId="Revision1">
    <w:name w:val="Revision1"/>
    <w:hidden/>
    <w:uiPriority w:val="99"/>
    <w:semiHidden/>
    <w:qFormat/>
    <w:rPr>
      <w:lang w:val="en-GB" w:eastAsia="en-US"/>
    </w:rPr>
  </w:style>
  <w:style w:type="paragraph" w:styleId="ListParagraph">
    <w:name w:val="List Paragraph"/>
    <w:basedOn w:val="Normal"/>
    <w:uiPriority w:val="34"/>
    <w:qFormat/>
    <w:pPr>
      <w:ind w:left="720"/>
      <w:contextualSpacing/>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18387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z00274494\Downloads\Docs\R3-224242.zip" TargetMode="External"/><Relationship Id="rId13" Type="http://schemas.openxmlformats.org/officeDocument/2006/relationships/hyperlink" Target="file:///C:\Users\z00274494\Downloads\Docs\R3-224404.zi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z00274494\Downloads\Docs\R3-224403.zi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Users\z00274494\Downloads\Docs\R3-22467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z00274494\Downloads\Docs\R3-224402.zip" TargetMode="External"/><Relationship Id="rId5" Type="http://schemas.openxmlformats.org/officeDocument/2006/relationships/webSettings" Target="webSettings.xml"/><Relationship Id="rId15" Type="http://schemas.openxmlformats.org/officeDocument/2006/relationships/hyperlink" Target="file:///C:\Users\z00274494\Downloads\Docs\R3-224573.zip" TargetMode="External"/><Relationship Id="rId10" Type="http://schemas.openxmlformats.org/officeDocument/2006/relationships/hyperlink" Target="file:///C:\Users\z00274494\Downloads\Docs\R3-224401.zip" TargetMode="External"/><Relationship Id="rId4" Type="http://schemas.openxmlformats.org/officeDocument/2006/relationships/settings" Target="settings.xml"/><Relationship Id="rId9" Type="http://schemas.openxmlformats.org/officeDocument/2006/relationships/hyperlink" Target="file:///C:\Users\z00274494\Downloads\Docs\R3-224400.zip" TargetMode="External"/><Relationship Id="rId14" Type="http://schemas.openxmlformats.org/officeDocument/2006/relationships/hyperlink" Target="file:///C:\Users\z00274494\Downloads\Docs\R3-224405.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TDoc.dot</Template>
  <TotalTime>13</TotalTime>
  <Pages>11</Pages>
  <Words>4646</Words>
  <Characters>25559</Characters>
  <Application>Microsoft Office Word</Application>
  <DocSecurity>0</DocSecurity>
  <Lines>212</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30145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9</cp:revision>
  <dcterms:created xsi:type="dcterms:W3CDTF">2022-08-23T02:38:00Z</dcterms:created>
  <dcterms:modified xsi:type="dcterms:W3CDTF">2022-08-23T09:08:00Z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818d02-8d25-4bb9-b27c-e4db64670887_Enabled">
    <vt:lpwstr>true</vt:lpwstr>
  </property>
  <property fmtid="{D5CDD505-2E9C-101B-9397-08002B2CF9AE}" pid="3" name="MSIP_Label_55818d02-8d25-4bb9-b27c-e4db64670887_SetDate">
    <vt:lpwstr>2022-08-17T08:05:38Z</vt:lpwstr>
  </property>
  <property fmtid="{D5CDD505-2E9C-101B-9397-08002B2CF9AE}" pid="4" name="MSIP_Label_55818d02-8d25-4bb9-b27c-e4db64670887_Method">
    <vt:lpwstr>Standard</vt:lpwstr>
  </property>
  <property fmtid="{D5CDD505-2E9C-101B-9397-08002B2CF9AE}" pid="5" name="MSIP_Label_55818d02-8d25-4bb9-b27c-e4db64670887_Name">
    <vt:lpwstr>55818d02-8d25-4bb9-b27c-e4db64670887</vt:lpwstr>
  </property>
  <property fmtid="{D5CDD505-2E9C-101B-9397-08002B2CF9AE}" pid="6" name="MSIP_Label_55818d02-8d25-4bb9-b27c-e4db64670887_SiteId">
    <vt:lpwstr>a7f35688-9c00-4d5e-ba41-29f146377ab0</vt:lpwstr>
  </property>
  <property fmtid="{D5CDD505-2E9C-101B-9397-08002B2CF9AE}" pid="7" name="MSIP_Label_55818d02-8d25-4bb9-b27c-e4db64670887_ActionId">
    <vt:lpwstr>e90922c0-ec5a-4e76-8777-6f30df682d7b</vt:lpwstr>
  </property>
  <property fmtid="{D5CDD505-2E9C-101B-9397-08002B2CF9AE}" pid="8" name="MSIP_Label_55818d02-8d25-4bb9-b27c-e4db64670887_ContentBits">
    <vt:lpwstr>0</vt:lpwstr>
  </property>
  <property fmtid="{D5CDD505-2E9C-101B-9397-08002B2CF9AE}" pid="9" name="KSOProductBuildVer">
    <vt:lpwstr>2052-11.8.2.9022</vt:lpwstr>
  </property>
</Properties>
</file>